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264C70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496F13">
        <w:rPr>
          <w:rFonts w:ascii="Times New Roman" w:hAnsi="Times New Roman" w:cs="Times New Roman"/>
          <w:b/>
          <w:spacing w:val="20"/>
          <w:sz w:val="28"/>
          <w:szCs w:val="28"/>
        </w:rPr>
        <w:t>АКТ</w:t>
      </w:r>
      <w:r w:rsid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4B6045">
        <w:rPr>
          <w:rFonts w:ascii="Times New Roman" w:hAnsi="Times New Roman" w:cs="Times New Roman"/>
          <w:b/>
          <w:sz w:val="28"/>
          <w:szCs w:val="28"/>
        </w:rPr>
        <w:t>Отдела культуры</w:t>
      </w:r>
      <w:r w:rsidR="00731559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Тбилисский</w:t>
      </w:r>
      <w:r w:rsidR="004B6045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255FA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A19C8" w:rsidRDefault="003A19C8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Pr="00400EA6" w:rsidRDefault="00EB4C07" w:rsidP="00400EA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11.03.2015 – 18.03.2015 </w:t>
      </w:r>
      <w:r w:rsidR="00400E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95CE9" w:rsidRPr="00400EA6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793CCE" w:rsidRPr="00793CCE" w:rsidRDefault="004B6045" w:rsidP="00402D51">
      <w:pPr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6-ФЗ,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932EB2">
        <w:rPr>
          <w:rFonts w:ascii="Times New Roman" w:hAnsi="Times New Roman" w:cs="Times New Roman"/>
          <w:sz w:val="28"/>
          <w:szCs w:val="28"/>
        </w:rPr>
        <w:t>п.1</w:t>
      </w:r>
      <w:r w:rsidR="00932EB2" w:rsidRPr="00932EB2">
        <w:rPr>
          <w:rFonts w:ascii="Times New Roman" w:hAnsi="Times New Roman" w:cs="Times New Roman"/>
          <w:sz w:val="28"/>
          <w:szCs w:val="28"/>
        </w:rPr>
        <w:t>.1</w:t>
      </w:r>
      <w:r w:rsidR="00932E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плана работы контрольно-счетной палаты на 201</w:t>
      </w:r>
      <w:r w:rsidR="00CD0598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Толубаевой,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</w:t>
      </w:r>
      <w:r w:rsidR="002255FA">
        <w:rPr>
          <w:rFonts w:ascii="Times New Roman" w:hAnsi="Times New Roman" w:cs="Times New Roman"/>
          <w:sz w:val="28"/>
          <w:szCs w:val="28"/>
        </w:rPr>
        <w:t xml:space="preserve"> Валентиной Михайловной Вишняковой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>
        <w:rPr>
          <w:rFonts w:ascii="Times New Roman" w:hAnsi="Times New Roman" w:cs="Times New Roman"/>
          <w:sz w:val="28"/>
          <w:szCs w:val="28"/>
        </w:rPr>
        <w:t>Отдела культуры Тбилисского района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2255FA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4839C0">
      <w:pPr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2255FA" w:rsidRPr="0072476B" w:rsidRDefault="002255FA" w:rsidP="002255FA">
      <w:pPr>
        <w:ind w:left="-142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 xml:space="preserve">1) полнота объема 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данных </w:t>
      </w:r>
      <w:r w:rsidRPr="0072476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одовой бюджетной отчетности  со всеми </w:t>
      </w:r>
      <w:r w:rsidRPr="0072476B">
        <w:rPr>
          <w:rFonts w:ascii="Times New Roman" w:hAnsi="Times New Roman" w:cs="Times New Roman"/>
          <w:sz w:val="28"/>
          <w:szCs w:val="28"/>
        </w:rPr>
        <w:t>необходимыми приложениями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2)  соблюдение контрольных соотношений форм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сроков сдачи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5CE9" w:rsidRDefault="00795CE9" w:rsidP="00795CE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1117AF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1117AF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1117AF">
        <w:rPr>
          <w:rFonts w:ascii="Times New Roman" w:hAnsi="Times New Roman" w:cs="Times New Roman"/>
          <w:bCs/>
          <w:sz w:val="28"/>
          <w:szCs w:val="28"/>
        </w:rPr>
        <w:t>;</w:t>
      </w:r>
    </w:p>
    <w:p w:rsidR="001117AF" w:rsidRDefault="001117AF" w:rsidP="001117A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</w:t>
      </w:r>
      <w:r>
        <w:rPr>
          <w:rFonts w:ascii="Times New Roman" w:hAnsi="Times New Roman" w:cs="Times New Roman"/>
          <w:sz w:val="28"/>
          <w:szCs w:val="28"/>
        </w:rPr>
        <w:t xml:space="preserve">нструкция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191н, с изменениями и дополнениями, утв. приказом Минфина России от 19 декабря 2014 г. N 157н);  </w:t>
      </w:r>
    </w:p>
    <w:p w:rsidR="00795CE9" w:rsidRPr="00795CE9" w:rsidRDefault="00795CE9" w:rsidP="00111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CF54DC">
        <w:rPr>
          <w:rFonts w:ascii="Times New Roman" w:hAnsi="Times New Roman" w:cs="Times New Roman"/>
          <w:sz w:val="28"/>
          <w:szCs w:val="28"/>
        </w:rPr>
        <w:t xml:space="preserve">Отдела культуры </w:t>
      </w:r>
      <w:r w:rsidR="002370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Тбилисский район</w:t>
      </w:r>
      <w:r w:rsidR="00717828">
        <w:rPr>
          <w:rFonts w:ascii="Times New Roman" w:hAnsi="Times New Roman" w:cs="Times New Roman"/>
          <w:sz w:val="28"/>
          <w:szCs w:val="28"/>
        </w:rPr>
        <w:t xml:space="preserve"> 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 w:rsidR="002255FA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год; </w:t>
      </w:r>
    </w:p>
    <w:p w:rsidR="00CF54DC" w:rsidRDefault="00795CE9" w:rsidP="001117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Главные книги казенных учреждений </w:t>
      </w:r>
      <w:r w:rsidR="00CF54DC">
        <w:rPr>
          <w:rFonts w:ascii="Times New Roman" w:hAnsi="Times New Roman" w:cs="Times New Roman"/>
          <w:sz w:val="28"/>
          <w:szCs w:val="28"/>
        </w:rPr>
        <w:t>Отдела культуры</w:t>
      </w:r>
      <w:r w:rsidR="00905F68">
        <w:rPr>
          <w:rFonts w:ascii="Times New Roman" w:hAnsi="Times New Roman" w:cs="Times New Roman"/>
          <w:sz w:val="28"/>
          <w:szCs w:val="28"/>
        </w:rPr>
        <w:t xml:space="preserve"> администрации МО Тбилисский район</w:t>
      </w:r>
      <w:r w:rsidR="00CF54DC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за 201</w:t>
      </w:r>
      <w:r w:rsidR="002255FA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  <w:r w:rsidR="00C31333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C0D97" w:rsidRDefault="009647C4" w:rsidP="009C0D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</w:t>
      </w:r>
    </w:p>
    <w:p w:rsidR="009C0D97" w:rsidRPr="009C0D97" w:rsidRDefault="009C0D97" w:rsidP="009C0D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переданных полномочий по ведению бухгалтерского учета, </w:t>
      </w:r>
      <w:r w:rsidRPr="00324538">
        <w:rPr>
          <w:rFonts w:ascii="Times New Roman" w:hAnsi="Times New Roman" w:cs="Times New Roman"/>
          <w:sz w:val="28"/>
          <w:szCs w:val="28"/>
        </w:rPr>
        <w:t xml:space="preserve">МКУ «Централизованная бухгалтерия 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324538">
        <w:rPr>
          <w:rFonts w:ascii="Times New Roman" w:hAnsi="Times New Roman" w:cs="Times New Roman"/>
          <w:sz w:val="28"/>
          <w:szCs w:val="28"/>
        </w:rPr>
        <w:t xml:space="preserve"> Тбилисский район» представила бюджетную отчетность </w:t>
      </w:r>
      <w:r>
        <w:rPr>
          <w:rFonts w:ascii="Times New Roman" w:hAnsi="Times New Roman" w:cs="Times New Roman"/>
          <w:sz w:val="28"/>
          <w:szCs w:val="28"/>
        </w:rPr>
        <w:t xml:space="preserve">Отдела культуры </w:t>
      </w:r>
      <w:r w:rsidRPr="00324538">
        <w:rPr>
          <w:rFonts w:ascii="Times New Roman" w:hAnsi="Times New Roman" w:cs="Times New Roman"/>
          <w:sz w:val="28"/>
          <w:szCs w:val="28"/>
        </w:rPr>
        <w:t xml:space="preserve">администрации МО Тбилисский район в финансовое управление МО Тбилисский район  </w:t>
      </w:r>
      <w:r>
        <w:rPr>
          <w:rFonts w:ascii="Times New Roman" w:hAnsi="Times New Roman" w:cs="Times New Roman"/>
          <w:sz w:val="28"/>
          <w:szCs w:val="28"/>
        </w:rPr>
        <w:t>с нарушением  установленного</w:t>
      </w:r>
      <w:r w:rsidRPr="00324538">
        <w:rPr>
          <w:rFonts w:ascii="Times New Roman" w:hAnsi="Times New Roman" w:cs="Times New Roman"/>
          <w:sz w:val="28"/>
          <w:szCs w:val="28"/>
        </w:rPr>
        <w:t xml:space="preserve"> графиком  срок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45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Срок представления годовой бюджетной и </w:t>
      </w:r>
      <w:r>
        <w:rPr>
          <w:rFonts w:ascii="Times New Roman" w:hAnsi="Times New Roman" w:cs="Times New Roman"/>
          <w:sz w:val="28"/>
          <w:szCs w:val="28"/>
        </w:rPr>
        <w:lastRenderedPageBreak/>
        <w:t>бухгалтерской отчетности согласно графика 26.01.2015, фактически представлена для проверки 30.01.2015 года.</w:t>
      </w:r>
    </w:p>
    <w:p w:rsidR="001117AF" w:rsidRPr="009C0D97" w:rsidRDefault="009C0D97" w:rsidP="009C0D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C0D97">
        <w:rPr>
          <w:rFonts w:ascii="Times New Roman" w:hAnsi="Times New Roman" w:cs="Times New Roman"/>
          <w:sz w:val="28"/>
          <w:szCs w:val="28"/>
        </w:rPr>
        <w:t>В контрольно-счетную палату</w:t>
      </w:r>
      <w:r w:rsidR="00111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бюджетная</w:t>
      </w:r>
      <w:r w:rsidR="001117AF">
        <w:rPr>
          <w:rFonts w:ascii="Times New Roman" w:hAnsi="Times New Roman" w:cs="Times New Roman"/>
          <w:sz w:val="28"/>
          <w:szCs w:val="28"/>
        </w:rPr>
        <w:t xml:space="preserve"> отчетность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 w:rsidR="001117AF">
        <w:rPr>
          <w:rFonts w:ascii="Times New Roman" w:hAnsi="Times New Roman" w:cs="Times New Roman"/>
          <w:sz w:val="28"/>
          <w:szCs w:val="28"/>
        </w:rPr>
        <w:t>в полном</w:t>
      </w:r>
      <w:r>
        <w:rPr>
          <w:rFonts w:ascii="Times New Roman" w:hAnsi="Times New Roman" w:cs="Times New Roman"/>
          <w:sz w:val="28"/>
          <w:szCs w:val="28"/>
        </w:rPr>
        <w:t xml:space="preserve"> объеме в  срок, установленный </w:t>
      </w:r>
      <w:r w:rsidR="001117AF">
        <w:rPr>
          <w:rFonts w:ascii="Times New Roman" w:hAnsi="Times New Roman" w:cs="Times New Roman"/>
          <w:sz w:val="28"/>
          <w:szCs w:val="28"/>
        </w:rPr>
        <w:t>для сд</w:t>
      </w:r>
      <w:r>
        <w:rPr>
          <w:rFonts w:ascii="Times New Roman" w:hAnsi="Times New Roman" w:cs="Times New Roman"/>
          <w:sz w:val="28"/>
          <w:szCs w:val="28"/>
        </w:rPr>
        <w:t>ачи отчетности на проверку</w:t>
      </w:r>
      <w:r w:rsidR="001117AF">
        <w:rPr>
          <w:rFonts w:ascii="Times New Roman" w:hAnsi="Times New Roman" w:cs="Times New Roman"/>
          <w:sz w:val="28"/>
          <w:szCs w:val="28"/>
        </w:rPr>
        <w:t xml:space="preserve"> - 1</w:t>
      </w:r>
      <w:r w:rsidR="00390574">
        <w:rPr>
          <w:rFonts w:ascii="Times New Roman" w:hAnsi="Times New Roman" w:cs="Times New Roman"/>
          <w:sz w:val="28"/>
          <w:szCs w:val="28"/>
        </w:rPr>
        <w:t>0</w:t>
      </w:r>
      <w:r w:rsidR="001117AF">
        <w:rPr>
          <w:rFonts w:ascii="Times New Roman" w:hAnsi="Times New Roman" w:cs="Times New Roman"/>
          <w:sz w:val="28"/>
          <w:szCs w:val="28"/>
        </w:rPr>
        <w:t>.03.2015</w:t>
      </w:r>
      <w:r w:rsidR="00390574">
        <w:rPr>
          <w:rFonts w:ascii="Times New Roman" w:hAnsi="Times New Roman" w:cs="Times New Roman"/>
          <w:sz w:val="28"/>
          <w:szCs w:val="28"/>
        </w:rPr>
        <w:t xml:space="preserve"> </w:t>
      </w:r>
      <w:r w:rsidR="001117AF">
        <w:rPr>
          <w:rFonts w:ascii="Times New Roman" w:hAnsi="Times New Roman" w:cs="Times New Roman"/>
          <w:sz w:val="28"/>
          <w:szCs w:val="28"/>
        </w:rPr>
        <w:t xml:space="preserve">года.  </w:t>
      </w:r>
    </w:p>
    <w:p w:rsidR="00795CE9" w:rsidRPr="00073BB1" w:rsidRDefault="001117AF" w:rsidP="009C0D97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073BB1">
        <w:rPr>
          <w:rFonts w:ascii="Times New Roman" w:hAnsi="Times New Roman" w:cs="Times New Roman"/>
          <w:sz w:val="28"/>
          <w:szCs w:val="28"/>
        </w:rPr>
        <w:t xml:space="preserve"> </w:t>
      </w:r>
      <w:r w:rsidR="00CF54DC" w:rsidRPr="00073BB1">
        <w:rPr>
          <w:rFonts w:ascii="Times New Roman" w:hAnsi="Times New Roman" w:cs="Times New Roman"/>
          <w:sz w:val="28"/>
          <w:szCs w:val="28"/>
        </w:rPr>
        <w:t xml:space="preserve">Отдел культуры </w:t>
      </w:r>
      <w:r w:rsidR="00073BB1" w:rsidRPr="00073BB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Тбилисский  район</w:t>
      </w:r>
      <w:r w:rsidR="00795CE9" w:rsidRPr="00073BB1">
        <w:rPr>
          <w:rFonts w:ascii="Times New Roman" w:hAnsi="Times New Roman" w:cs="Times New Roman"/>
          <w:sz w:val="28"/>
          <w:szCs w:val="28"/>
        </w:rPr>
        <w:t xml:space="preserve"> формирует сводный отчет </w:t>
      </w:r>
      <w:r w:rsidR="00073BB1" w:rsidRPr="00073BB1">
        <w:rPr>
          <w:rFonts w:ascii="Times New Roman" w:hAnsi="Times New Roman" w:cs="Times New Roman"/>
          <w:sz w:val="28"/>
          <w:szCs w:val="28"/>
        </w:rPr>
        <w:t>двух</w:t>
      </w:r>
      <w:r w:rsidR="00795CE9" w:rsidRPr="00073BB1">
        <w:rPr>
          <w:rFonts w:ascii="Times New Roman" w:hAnsi="Times New Roman" w:cs="Times New Roman"/>
          <w:sz w:val="28"/>
          <w:szCs w:val="28"/>
        </w:rPr>
        <w:t xml:space="preserve"> </w:t>
      </w:r>
      <w:r w:rsidR="009647C4" w:rsidRPr="00073BB1">
        <w:rPr>
          <w:rFonts w:ascii="Times New Roman" w:hAnsi="Times New Roman" w:cs="Times New Roman"/>
          <w:sz w:val="28"/>
          <w:szCs w:val="28"/>
        </w:rPr>
        <w:t>казен</w:t>
      </w:r>
      <w:r w:rsidR="00795CE9" w:rsidRPr="00073BB1">
        <w:rPr>
          <w:rFonts w:ascii="Times New Roman" w:hAnsi="Times New Roman" w:cs="Times New Roman"/>
          <w:sz w:val="28"/>
          <w:szCs w:val="28"/>
        </w:rPr>
        <w:t xml:space="preserve">ных </w:t>
      </w:r>
      <w:r w:rsidR="001C4F90" w:rsidRPr="00073BB1">
        <w:rPr>
          <w:rFonts w:ascii="Times New Roman" w:hAnsi="Times New Roman" w:cs="Times New Roman"/>
          <w:sz w:val="28"/>
          <w:szCs w:val="28"/>
        </w:rPr>
        <w:t>учреждений</w:t>
      </w:r>
      <w:r w:rsidR="00795CE9" w:rsidRPr="00073BB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47C4" w:rsidRPr="00073BB1" w:rsidRDefault="009647C4" w:rsidP="009647C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073BB1">
        <w:rPr>
          <w:rFonts w:ascii="Times New Roman" w:hAnsi="Times New Roman" w:cs="Times New Roman"/>
          <w:sz w:val="28"/>
          <w:szCs w:val="28"/>
        </w:rPr>
        <w:t>1) Отдел культуры ад</w:t>
      </w:r>
      <w:r w:rsidR="00073BB1">
        <w:rPr>
          <w:rFonts w:ascii="Times New Roman" w:hAnsi="Times New Roman" w:cs="Times New Roman"/>
          <w:sz w:val="28"/>
          <w:szCs w:val="28"/>
        </w:rPr>
        <w:t>министрации МО Тбилисский район;</w:t>
      </w:r>
      <w:r w:rsidRPr="00073B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647C4" w:rsidRPr="00795CE9" w:rsidRDefault="00073BB1" w:rsidP="009647C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073BB1">
        <w:rPr>
          <w:rFonts w:ascii="Times New Roman" w:hAnsi="Times New Roman" w:cs="Times New Roman"/>
          <w:sz w:val="28"/>
          <w:szCs w:val="28"/>
        </w:rPr>
        <w:t>2</w:t>
      </w:r>
      <w:r w:rsidR="009647C4" w:rsidRPr="00073BB1">
        <w:rPr>
          <w:rFonts w:ascii="Times New Roman" w:hAnsi="Times New Roman" w:cs="Times New Roman"/>
          <w:sz w:val="28"/>
          <w:szCs w:val="28"/>
        </w:rPr>
        <w:t>) МКУК «Тбилисский методический центр культуры»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47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4839C0" w:rsidRDefault="004839C0" w:rsidP="00D265A3">
      <w:pPr>
        <w:autoSpaceDE w:val="0"/>
        <w:autoSpaceDN w:val="0"/>
        <w:adjustRightInd w:val="0"/>
        <w:spacing w:after="0" w:line="240" w:lineRule="auto"/>
        <w:ind w:left="360" w:firstLine="2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CE9" w:rsidRDefault="009647C4" w:rsidP="003905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sub_1179"/>
      <w:r w:rsidRPr="00390574">
        <w:rPr>
          <w:rFonts w:ascii="Times New Roman" w:hAnsi="Times New Roman" w:cs="Times New Roman"/>
          <w:sz w:val="28"/>
          <w:szCs w:val="28"/>
        </w:rPr>
        <w:t>Отделом культуры</w:t>
      </w:r>
      <w:r w:rsidR="00905F68" w:rsidRPr="00390574">
        <w:rPr>
          <w:rFonts w:ascii="Times New Roman" w:hAnsi="Times New Roman" w:cs="Times New Roman"/>
          <w:sz w:val="28"/>
          <w:szCs w:val="28"/>
        </w:rPr>
        <w:t xml:space="preserve"> администрации МО Тбилисский район</w:t>
      </w:r>
      <w:r w:rsidRPr="00390574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390574">
        <w:rPr>
          <w:rFonts w:ascii="Times New Roman" w:hAnsi="Times New Roman" w:cs="Times New Roman"/>
          <w:sz w:val="28"/>
          <w:szCs w:val="28"/>
        </w:rPr>
        <w:t>в составе годовой бюджетной отчетности представлены</w:t>
      </w:r>
      <w:r w:rsidR="00795CE9" w:rsidRPr="00390574">
        <w:rPr>
          <w:rFonts w:ascii="Arial" w:hAnsi="Arial" w:cs="Arial"/>
          <w:sz w:val="24"/>
          <w:szCs w:val="24"/>
        </w:rPr>
        <w:t>:</w:t>
      </w:r>
    </w:p>
    <w:p w:rsidR="00390574" w:rsidRPr="00390574" w:rsidRDefault="00390574" w:rsidP="003905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10490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418"/>
        <w:gridCol w:w="992"/>
        <w:gridCol w:w="1134"/>
      </w:tblGrid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92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="008A71FF"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B3736C">
            <w:pPr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418" w:type="dxa"/>
          </w:tcPr>
          <w:p w:rsidR="007E2F80" w:rsidRPr="00A14085" w:rsidRDefault="008A71FF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9647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A1408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DB77F0" w:rsidTr="005B76CE">
        <w:tc>
          <w:tcPr>
            <w:tcW w:w="851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418" w:type="dxa"/>
          </w:tcPr>
          <w:p w:rsidR="00DB77F0" w:rsidRPr="002F31D4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D7707"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992" w:type="dxa"/>
          </w:tcPr>
          <w:p w:rsidR="00DB77F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DB77F0" w:rsidRPr="00A14085" w:rsidRDefault="00065F3D" w:rsidP="00485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DB77F0" w:rsidTr="005B76CE">
        <w:tc>
          <w:tcPr>
            <w:tcW w:w="851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</w:tcPr>
          <w:p w:rsidR="00DB77F0" w:rsidRPr="00A14085" w:rsidRDefault="00DB77F0" w:rsidP="00DB77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418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992" w:type="dxa"/>
          </w:tcPr>
          <w:p w:rsidR="00DB77F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DB77F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7E2F80" w:rsidRPr="00A14085" w:rsidRDefault="00A14085" w:rsidP="00A074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418" w:type="dxa"/>
          </w:tcPr>
          <w:p w:rsidR="007E2F80" w:rsidRPr="00A14085" w:rsidRDefault="00A14085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 w:rsidR="009647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</w:tcPr>
          <w:p w:rsidR="007E2F80" w:rsidRPr="00A14085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418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5B76CE">
        <w:tc>
          <w:tcPr>
            <w:tcW w:w="851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418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992" w:type="dxa"/>
          </w:tcPr>
          <w:p w:rsidR="007E2F80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5B76CE">
        <w:trPr>
          <w:trHeight w:val="649"/>
        </w:trPr>
        <w:tc>
          <w:tcPr>
            <w:tcW w:w="851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6F6053" w:rsidRPr="006F6053" w:rsidRDefault="00A14085" w:rsidP="00227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 w:rsidR="006F6053"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418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992" w:type="dxa"/>
          </w:tcPr>
          <w:p w:rsidR="007E2F80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A0742A" w:rsidRPr="006F6053" w:rsidTr="005B76CE">
        <w:trPr>
          <w:trHeight w:val="368"/>
        </w:trPr>
        <w:tc>
          <w:tcPr>
            <w:tcW w:w="851" w:type="dxa"/>
          </w:tcPr>
          <w:p w:rsidR="00A0742A" w:rsidRPr="006F6053" w:rsidRDefault="00D265A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A0742A" w:rsidRPr="006F6053" w:rsidRDefault="00A0742A" w:rsidP="00A0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418" w:type="dxa"/>
          </w:tcPr>
          <w:p w:rsidR="00A0742A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992" w:type="dxa"/>
          </w:tcPr>
          <w:p w:rsidR="00A0742A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A0742A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65EF7" w:rsidRPr="006F6053" w:rsidTr="005B76CE">
        <w:tc>
          <w:tcPr>
            <w:tcW w:w="851" w:type="dxa"/>
          </w:tcPr>
          <w:p w:rsidR="00865EF7" w:rsidRDefault="00865EF7" w:rsidP="00667F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865EF7" w:rsidRPr="006F6053" w:rsidRDefault="00865EF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418" w:type="dxa"/>
          </w:tcPr>
          <w:p w:rsidR="00865EF7" w:rsidRPr="006F6053" w:rsidRDefault="00865EF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992" w:type="dxa"/>
          </w:tcPr>
          <w:p w:rsidR="00865EF7" w:rsidRDefault="00865EF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865EF7" w:rsidRDefault="00865EF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65EF7" w:rsidRPr="006F6053" w:rsidTr="005B76CE">
        <w:tc>
          <w:tcPr>
            <w:tcW w:w="851" w:type="dxa"/>
          </w:tcPr>
          <w:p w:rsidR="00865EF7" w:rsidRDefault="00905F68" w:rsidP="00667F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095" w:type="dxa"/>
          </w:tcPr>
          <w:p w:rsidR="00865EF7" w:rsidRPr="006F6053" w:rsidRDefault="00865EF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418" w:type="dxa"/>
          </w:tcPr>
          <w:p w:rsidR="00865EF7" w:rsidRPr="00707BF2" w:rsidRDefault="00F92EE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7BF2">
              <w:rPr>
                <w:rFonts w:ascii="Times New Roman" w:hAnsi="Times New Roman" w:cs="Times New Roman"/>
                <w:b/>
                <w:sz w:val="26"/>
                <w:szCs w:val="26"/>
              </w:rPr>
              <w:t>0503163</w:t>
            </w:r>
          </w:p>
        </w:tc>
        <w:tc>
          <w:tcPr>
            <w:tcW w:w="992" w:type="dxa"/>
          </w:tcPr>
          <w:p w:rsidR="00865EF7" w:rsidRDefault="00F92EE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865EF7" w:rsidRDefault="00F92EE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647C4" w:rsidRPr="006F6053" w:rsidTr="005B76CE">
        <w:tc>
          <w:tcPr>
            <w:tcW w:w="851" w:type="dxa"/>
          </w:tcPr>
          <w:p w:rsidR="009647C4" w:rsidRPr="006F6053" w:rsidRDefault="009647C4" w:rsidP="00667F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05F6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992" w:type="dxa"/>
          </w:tcPr>
          <w:p w:rsidR="009647C4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55A7F" w:rsidRPr="006F6053" w:rsidTr="005B76CE">
        <w:trPr>
          <w:trHeight w:val="393"/>
        </w:trPr>
        <w:tc>
          <w:tcPr>
            <w:tcW w:w="851" w:type="dxa"/>
          </w:tcPr>
          <w:p w:rsidR="00955A7F" w:rsidRDefault="00905F68" w:rsidP="006A7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095" w:type="dxa"/>
          </w:tcPr>
          <w:p w:rsidR="00955A7F" w:rsidRPr="006F6053" w:rsidRDefault="00955A7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418" w:type="dxa"/>
          </w:tcPr>
          <w:p w:rsidR="00955A7F" w:rsidRPr="006F6053" w:rsidRDefault="00955A7F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992" w:type="dxa"/>
          </w:tcPr>
          <w:p w:rsidR="00955A7F" w:rsidRDefault="00707BF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55A7F" w:rsidRDefault="00707BF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5F68" w:rsidRPr="006F6053" w:rsidTr="005B76CE">
        <w:trPr>
          <w:trHeight w:val="393"/>
        </w:trPr>
        <w:tc>
          <w:tcPr>
            <w:tcW w:w="851" w:type="dxa"/>
          </w:tcPr>
          <w:p w:rsidR="00905F68" w:rsidRDefault="00905F68" w:rsidP="00905F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095" w:type="dxa"/>
          </w:tcPr>
          <w:p w:rsidR="00905F68" w:rsidRPr="006F6053" w:rsidRDefault="00905F68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418" w:type="dxa"/>
          </w:tcPr>
          <w:p w:rsidR="00905F68" w:rsidRPr="00707BF2" w:rsidRDefault="00905F68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7BF2">
              <w:rPr>
                <w:rFonts w:ascii="Times New Roman" w:hAnsi="Times New Roman" w:cs="Times New Roman"/>
                <w:b/>
                <w:sz w:val="26"/>
                <w:szCs w:val="26"/>
              </w:rPr>
              <w:t>0503167</w:t>
            </w:r>
          </w:p>
        </w:tc>
        <w:tc>
          <w:tcPr>
            <w:tcW w:w="992" w:type="dxa"/>
          </w:tcPr>
          <w:p w:rsidR="00905F68" w:rsidRDefault="00707BF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5F68" w:rsidRDefault="00707BF2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647C4" w:rsidRPr="006F6053" w:rsidTr="005B76CE">
        <w:trPr>
          <w:trHeight w:val="393"/>
        </w:trPr>
        <w:tc>
          <w:tcPr>
            <w:tcW w:w="851" w:type="dxa"/>
          </w:tcPr>
          <w:p w:rsidR="009647C4" w:rsidRPr="006F6053" w:rsidRDefault="00667F23" w:rsidP="00905F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05F6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418" w:type="dxa"/>
          </w:tcPr>
          <w:p w:rsidR="009647C4" w:rsidRPr="006F6053" w:rsidRDefault="009647C4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992" w:type="dxa"/>
          </w:tcPr>
          <w:p w:rsidR="009647C4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5B76CE">
        <w:tc>
          <w:tcPr>
            <w:tcW w:w="851" w:type="dxa"/>
          </w:tcPr>
          <w:p w:rsidR="009647C4" w:rsidRPr="006F6053" w:rsidRDefault="00905F68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095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по дебиторской и кредиторской 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задолженности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0503169</w:t>
            </w:r>
          </w:p>
        </w:tc>
        <w:tc>
          <w:tcPr>
            <w:tcW w:w="992" w:type="dxa"/>
          </w:tcPr>
          <w:p w:rsidR="009647C4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5B76CE">
        <w:tc>
          <w:tcPr>
            <w:tcW w:w="851" w:type="dxa"/>
          </w:tcPr>
          <w:p w:rsidR="009647C4" w:rsidRPr="006F6053" w:rsidRDefault="00905F68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6095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992" w:type="dxa"/>
          </w:tcPr>
          <w:p w:rsidR="009647C4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074233" w:rsidRPr="006F6053" w:rsidTr="005B76CE">
        <w:tc>
          <w:tcPr>
            <w:tcW w:w="851" w:type="dxa"/>
          </w:tcPr>
          <w:p w:rsidR="00074233" w:rsidRDefault="00905F68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095" w:type="dxa"/>
          </w:tcPr>
          <w:p w:rsidR="00074233" w:rsidRPr="006F6053" w:rsidRDefault="00955A7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418" w:type="dxa"/>
          </w:tcPr>
          <w:p w:rsidR="00074233" w:rsidRPr="00707BF2" w:rsidRDefault="00955A7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7BF2">
              <w:rPr>
                <w:rFonts w:ascii="Times New Roman" w:hAnsi="Times New Roman" w:cs="Times New Roman"/>
                <w:b/>
                <w:sz w:val="26"/>
                <w:szCs w:val="26"/>
              </w:rPr>
              <w:t>0503172</w:t>
            </w:r>
          </w:p>
        </w:tc>
        <w:tc>
          <w:tcPr>
            <w:tcW w:w="992" w:type="dxa"/>
          </w:tcPr>
          <w:p w:rsidR="00074233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74233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647C4" w:rsidRPr="006F6053" w:rsidTr="005B76CE">
        <w:tc>
          <w:tcPr>
            <w:tcW w:w="851" w:type="dxa"/>
          </w:tcPr>
          <w:p w:rsidR="009647C4" w:rsidRPr="006F6053" w:rsidRDefault="00905F68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095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992" w:type="dxa"/>
          </w:tcPr>
          <w:p w:rsidR="009647C4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55A7F" w:rsidRPr="006F6053" w:rsidTr="005B76CE">
        <w:tc>
          <w:tcPr>
            <w:tcW w:w="851" w:type="dxa"/>
          </w:tcPr>
          <w:p w:rsidR="00955A7F" w:rsidRDefault="00905F68" w:rsidP="00932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095" w:type="dxa"/>
          </w:tcPr>
          <w:p w:rsidR="00955A7F" w:rsidRPr="006F6053" w:rsidRDefault="00955A7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418" w:type="dxa"/>
          </w:tcPr>
          <w:p w:rsidR="00955A7F" w:rsidRPr="00707BF2" w:rsidRDefault="00955A7F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7BF2">
              <w:rPr>
                <w:rFonts w:ascii="Times New Roman" w:hAnsi="Times New Roman" w:cs="Times New Roman"/>
                <w:b/>
                <w:sz w:val="26"/>
                <w:szCs w:val="26"/>
              </w:rPr>
              <w:t>0503176</w:t>
            </w:r>
          </w:p>
        </w:tc>
        <w:tc>
          <w:tcPr>
            <w:tcW w:w="992" w:type="dxa"/>
          </w:tcPr>
          <w:p w:rsidR="00955A7F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55A7F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647C4" w:rsidRPr="006F6053" w:rsidTr="005B76CE">
        <w:tc>
          <w:tcPr>
            <w:tcW w:w="851" w:type="dxa"/>
          </w:tcPr>
          <w:p w:rsidR="009647C4" w:rsidRPr="006F6053" w:rsidRDefault="00905F68" w:rsidP="00932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095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992" w:type="dxa"/>
          </w:tcPr>
          <w:p w:rsidR="009647C4" w:rsidRPr="006F6053" w:rsidRDefault="00065F3D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55A7F" w:rsidRPr="006F6053" w:rsidTr="005B76CE">
        <w:tc>
          <w:tcPr>
            <w:tcW w:w="851" w:type="dxa"/>
          </w:tcPr>
          <w:p w:rsidR="00955A7F" w:rsidRDefault="00905F68" w:rsidP="00905F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095" w:type="dxa"/>
          </w:tcPr>
          <w:p w:rsidR="00955A7F" w:rsidRPr="006F6053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418" w:type="dxa"/>
          </w:tcPr>
          <w:p w:rsidR="00955A7F" w:rsidRPr="00707BF2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07BF2">
              <w:rPr>
                <w:rFonts w:ascii="Times New Roman" w:hAnsi="Times New Roman" w:cs="Times New Roman"/>
                <w:b/>
                <w:sz w:val="26"/>
                <w:szCs w:val="26"/>
              </w:rPr>
              <w:t>0503178</w:t>
            </w:r>
          </w:p>
        </w:tc>
        <w:tc>
          <w:tcPr>
            <w:tcW w:w="992" w:type="dxa"/>
          </w:tcPr>
          <w:p w:rsidR="00955A7F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55A7F" w:rsidRDefault="001309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647C4" w:rsidRPr="006F6053" w:rsidTr="005B76CE">
        <w:tc>
          <w:tcPr>
            <w:tcW w:w="851" w:type="dxa"/>
          </w:tcPr>
          <w:p w:rsidR="009647C4" w:rsidRPr="006F6053" w:rsidRDefault="00905F68" w:rsidP="00932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095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418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F62F8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</w:tbl>
    <w:bookmarkEnd w:id="0"/>
    <w:p w:rsidR="00165157" w:rsidRDefault="00165157" w:rsidP="00B75065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причине отсутствия числовых значений показателей</w:t>
      </w:r>
      <w:r w:rsidR="001117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п.8 инструкции № 191н</w:t>
      </w:r>
      <w:r w:rsidR="001117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годовую бухгалтерскую отчетность не вошли следующие формы:</w:t>
      </w:r>
    </w:p>
    <w:p w:rsidR="00707BF2" w:rsidRDefault="00707BF2" w:rsidP="00707BF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целевых иностранных кредитах (ф.0503167); </w:t>
      </w:r>
    </w:p>
    <w:p w:rsidR="00165157" w:rsidRPr="00873A14" w:rsidRDefault="00165157" w:rsidP="00B75065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A14">
        <w:rPr>
          <w:rFonts w:ascii="Times New Roman" w:hAnsi="Times New Roman" w:cs="Times New Roman"/>
          <w:sz w:val="28"/>
          <w:szCs w:val="28"/>
        </w:rPr>
        <w:t>- Сведения о государственном (муниципальном) долге (ф. 0503172);</w:t>
      </w:r>
    </w:p>
    <w:p w:rsidR="00FA44EC" w:rsidRDefault="00165157" w:rsidP="00FA44EC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A14">
        <w:rPr>
          <w:rFonts w:ascii="Times New Roman" w:hAnsi="Times New Roman" w:cs="Times New Roman"/>
          <w:sz w:val="28"/>
          <w:szCs w:val="28"/>
        </w:rPr>
        <w:t>- Сведения о недостачах и хищениях денежных средств и материальных ценностей</w:t>
      </w:r>
      <w:r w:rsidR="00873A14" w:rsidRPr="00873A14">
        <w:rPr>
          <w:rFonts w:ascii="Times New Roman" w:hAnsi="Times New Roman" w:cs="Times New Roman"/>
          <w:sz w:val="28"/>
          <w:szCs w:val="28"/>
        </w:rPr>
        <w:t xml:space="preserve"> (ф 0503176);</w:t>
      </w:r>
    </w:p>
    <w:p w:rsidR="00873A14" w:rsidRDefault="00873A14" w:rsidP="00FA44EC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A14">
        <w:rPr>
          <w:rFonts w:ascii="Times New Roman" w:hAnsi="Times New Roman" w:cs="Times New Roman"/>
          <w:sz w:val="28"/>
          <w:szCs w:val="28"/>
        </w:rPr>
        <w:t>- Сведения об остатках денежных средств на счетах получателя бюджетных средств (ф 0503178).</w:t>
      </w:r>
    </w:p>
    <w:p w:rsidR="001117AF" w:rsidRPr="00873A14" w:rsidRDefault="001117AF" w:rsidP="00B75065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перед составлением годовой бюджетной отчетности должна быть проведена инвентаризация активов и обязательств.</w:t>
      </w:r>
      <w:r w:rsidR="003F2171" w:rsidRPr="003F2171">
        <w:rPr>
          <w:rFonts w:ascii="Times New Roman" w:hAnsi="Times New Roman" w:cs="Times New Roman"/>
          <w:sz w:val="28"/>
          <w:szCs w:val="28"/>
        </w:rPr>
        <w:t xml:space="preserve"> </w:t>
      </w:r>
      <w:r w:rsidR="003F2171">
        <w:rPr>
          <w:rFonts w:ascii="Times New Roman" w:hAnsi="Times New Roman" w:cs="Times New Roman"/>
          <w:sz w:val="28"/>
          <w:szCs w:val="28"/>
        </w:rPr>
        <w:t xml:space="preserve">На основании  приказов </w:t>
      </w:r>
      <w:r w:rsidR="003F2171" w:rsidRPr="00073BB1">
        <w:rPr>
          <w:rFonts w:ascii="Times New Roman" w:hAnsi="Times New Roman" w:cs="Times New Roman"/>
          <w:sz w:val="28"/>
          <w:szCs w:val="28"/>
        </w:rPr>
        <w:t>Отдел</w:t>
      </w:r>
      <w:r w:rsidR="003F2171">
        <w:rPr>
          <w:rFonts w:ascii="Times New Roman" w:hAnsi="Times New Roman" w:cs="Times New Roman"/>
          <w:sz w:val="28"/>
          <w:szCs w:val="28"/>
        </w:rPr>
        <w:t>а</w:t>
      </w:r>
      <w:r w:rsidR="003F2171" w:rsidRPr="00073BB1">
        <w:rPr>
          <w:rFonts w:ascii="Times New Roman" w:hAnsi="Times New Roman" w:cs="Times New Roman"/>
          <w:sz w:val="28"/>
          <w:szCs w:val="28"/>
        </w:rPr>
        <w:t xml:space="preserve"> культуры  администрации муницип</w:t>
      </w:r>
      <w:r w:rsidR="003F2171">
        <w:rPr>
          <w:rFonts w:ascii="Times New Roman" w:hAnsi="Times New Roman" w:cs="Times New Roman"/>
          <w:sz w:val="28"/>
          <w:szCs w:val="28"/>
        </w:rPr>
        <w:t>ального образования Тбилисский район от 30.10.2014 г. № 162 и  муниципального казенного учреждения культуры «Тбилисский методический центр культуры» от 18.11.2014 № 38-К  проведена годовая инвентаризация материальных запасов, инвентаря, расчетов. По данным пояснительной записки формы 0503160, таблица № 6, при проведении годовой инвентаризации  материальных ценностей,  расхождений с данными бухгалтерского учета не установлено</w:t>
      </w:r>
      <w:r w:rsidR="00C94488">
        <w:rPr>
          <w:rFonts w:ascii="Times New Roman" w:hAnsi="Times New Roman" w:cs="Times New Roman"/>
          <w:sz w:val="28"/>
          <w:szCs w:val="28"/>
        </w:rPr>
        <w:t>.</w:t>
      </w:r>
    </w:p>
    <w:p w:rsidR="009007CE" w:rsidRDefault="009007CE" w:rsidP="00B75065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538">
        <w:rPr>
          <w:rFonts w:ascii="Times New Roman" w:hAnsi="Times New Roman" w:cs="Times New Roman"/>
          <w:sz w:val="28"/>
          <w:szCs w:val="28"/>
        </w:rPr>
        <w:t xml:space="preserve">Все формы годовой отчетности  представлены  в соответствии с требованиями инструкции №191н,  подписаны руководителем </w:t>
      </w:r>
      <w:r w:rsidR="001F07B4">
        <w:rPr>
          <w:rFonts w:ascii="Times New Roman" w:hAnsi="Times New Roman" w:cs="Times New Roman"/>
          <w:sz w:val="28"/>
          <w:szCs w:val="28"/>
        </w:rPr>
        <w:t xml:space="preserve">отдела культуры, руководителем </w:t>
      </w:r>
      <w:r w:rsidRPr="00324538">
        <w:rPr>
          <w:rFonts w:ascii="Times New Roman" w:hAnsi="Times New Roman" w:cs="Times New Roman"/>
          <w:sz w:val="28"/>
          <w:szCs w:val="28"/>
        </w:rPr>
        <w:t xml:space="preserve">МКУ «ЦБ </w:t>
      </w:r>
      <w:r w:rsidR="00984B89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324538">
        <w:rPr>
          <w:rFonts w:ascii="Times New Roman" w:hAnsi="Times New Roman" w:cs="Times New Roman"/>
          <w:sz w:val="28"/>
          <w:szCs w:val="28"/>
        </w:rPr>
        <w:t xml:space="preserve"> Тбилисский район» и главным бухгалтером</w:t>
      </w:r>
      <w:r w:rsidR="00073BB1">
        <w:rPr>
          <w:rFonts w:ascii="Times New Roman" w:hAnsi="Times New Roman" w:cs="Times New Roman"/>
          <w:sz w:val="28"/>
          <w:szCs w:val="28"/>
        </w:rPr>
        <w:t>, за исключением одной</w:t>
      </w:r>
      <w:r w:rsidR="007D7707">
        <w:rPr>
          <w:rFonts w:ascii="Times New Roman" w:hAnsi="Times New Roman" w:cs="Times New Roman"/>
          <w:sz w:val="28"/>
          <w:szCs w:val="28"/>
        </w:rPr>
        <w:t xml:space="preserve"> форм</w:t>
      </w:r>
      <w:r w:rsidR="00073BB1">
        <w:rPr>
          <w:rFonts w:ascii="Times New Roman" w:hAnsi="Times New Roman" w:cs="Times New Roman"/>
          <w:sz w:val="28"/>
          <w:szCs w:val="28"/>
        </w:rPr>
        <w:t>ы</w:t>
      </w:r>
      <w:r w:rsidR="007D7707">
        <w:rPr>
          <w:rFonts w:ascii="Times New Roman" w:hAnsi="Times New Roman" w:cs="Times New Roman"/>
          <w:sz w:val="28"/>
          <w:szCs w:val="28"/>
        </w:rPr>
        <w:t>. П</w:t>
      </w:r>
      <w:r w:rsidRPr="003E7F26">
        <w:rPr>
          <w:rFonts w:ascii="Times New Roman" w:hAnsi="Times New Roman" w:cs="Times New Roman"/>
          <w:sz w:val="28"/>
          <w:szCs w:val="28"/>
        </w:rPr>
        <w:t xml:space="preserve">ояснительная </w:t>
      </w:r>
      <w:r w:rsidR="007D7707">
        <w:rPr>
          <w:rFonts w:ascii="Times New Roman" w:hAnsi="Times New Roman" w:cs="Times New Roman"/>
          <w:sz w:val="28"/>
          <w:szCs w:val="28"/>
        </w:rPr>
        <w:t>записка (ф.0503160) не подписана</w:t>
      </w:r>
      <w:r w:rsidRPr="003E7F26">
        <w:rPr>
          <w:rFonts w:ascii="Times New Roman" w:hAnsi="Times New Roman" w:cs="Times New Roman"/>
          <w:sz w:val="28"/>
          <w:szCs w:val="28"/>
        </w:rPr>
        <w:t xml:space="preserve"> руководителем финансово-экономической службы, в нарушение п.6 Инструкции 191н. </w:t>
      </w:r>
    </w:p>
    <w:p w:rsidR="003F2171" w:rsidRDefault="003F2171" w:rsidP="003F21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п. 9 Инструкции 191н.</w:t>
      </w:r>
    </w:p>
    <w:p w:rsidR="003F2171" w:rsidRPr="00390574" w:rsidRDefault="00390574" w:rsidP="00390574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ходе проверки проведена сверка показателей баланса ф.0503130 с главной книгой ф.0504072: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1199"/>
        <w:gridCol w:w="1386"/>
        <w:gridCol w:w="1294"/>
        <w:gridCol w:w="1405"/>
        <w:gridCol w:w="1399"/>
        <w:gridCol w:w="1266"/>
        <w:gridCol w:w="989"/>
        <w:gridCol w:w="1134"/>
      </w:tblGrid>
      <w:tr w:rsidR="009647C4" w:rsidRPr="009647C4" w:rsidTr="00667F23">
        <w:tc>
          <w:tcPr>
            <w:tcW w:w="384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По данным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2255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Расхождение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Данных - , +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Расхож-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дений</w:t>
            </w:r>
          </w:p>
        </w:tc>
      </w:tr>
      <w:tr w:rsidR="009647C4" w:rsidRPr="009647C4" w:rsidTr="00667F23">
        <w:tc>
          <w:tcPr>
            <w:tcW w:w="384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294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40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9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26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89" w:type="dxa"/>
            <w:shd w:val="clear" w:color="auto" w:fill="auto"/>
          </w:tcPr>
          <w:p w:rsidR="009647C4" w:rsidRPr="009647C4" w:rsidRDefault="009647C4" w:rsidP="00887514">
            <w:pPr>
              <w:suppressAutoHyphens/>
              <w:spacing w:after="0" w:line="360" w:lineRule="auto"/>
              <w:ind w:right="-186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134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</w:tr>
      <w:tr w:rsidR="009647C4" w:rsidRPr="009647C4" w:rsidTr="00667F23">
        <w:tc>
          <w:tcPr>
            <w:tcW w:w="384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138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1294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4</w:t>
            </w:r>
          </w:p>
        </w:tc>
        <w:tc>
          <w:tcPr>
            <w:tcW w:w="1405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5</w:t>
            </w:r>
          </w:p>
        </w:tc>
        <w:tc>
          <w:tcPr>
            <w:tcW w:w="139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7</w:t>
            </w:r>
          </w:p>
        </w:tc>
        <w:tc>
          <w:tcPr>
            <w:tcW w:w="98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9</w:t>
            </w:r>
          </w:p>
        </w:tc>
      </w:tr>
      <w:tr w:rsidR="00667F23" w:rsidRPr="009647C4" w:rsidTr="00667F23">
        <w:tc>
          <w:tcPr>
            <w:tcW w:w="384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386" w:type="dxa"/>
            <w:shd w:val="clear" w:color="auto" w:fill="auto"/>
          </w:tcPr>
          <w:p w:rsidR="00667F23" w:rsidRPr="009647C4" w:rsidRDefault="003E36C3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198803,35</w:t>
            </w:r>
          </w:p>
        </w:tc>
        <w:tc>
          <w:tcPr>
            <w:tcW w:w="1294" w:type="dxa"/>
            <w:shd w:val="clear" w:color="auto" w:fill="auto"/>
          </w:tcPr>
          <w:p w:rsidR="00667F23" w:rsidRPr="009647C4" w:rsidRDefault="003E36C3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210011,83</w:t>
            </w:r>
          </w:p>
        </w:tc>
        <w:tc>
          <w:tcPr>
            <w:tcW w:w="1405" w:type="dxa"/>
            <w:shd w:val="clear" w:color="auto" w:fill="auto"/>
          </w:tcPr>
          <w:p w:rsidR="00667F23" w:rsidRPr="00443930" w:rsidRDefault="00443930" w:rsidP="0044393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3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198803,35</w:t>
            </w:r>
          </w:p>
        </w:tc>
        <w:tc>
          <w:tcPr>
            <w:tcW w:w="1399" w:type="dxa"/>
            <w:shd w:val="clear" w:color="auto" w:fill="auto"/>
          </w:tcPr>
          <w:p w:rsidR="00667F23" w:rsidRPr="009647C4" w:rsidRDefault="00443930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210011,83</w:t>
            </w:r>
          </w:p>
        </w:tc>
        <w:tc>
          <w:tcPr>
            <w:tcW w:w="1266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667F23" w:rsidRPr="009647C4" w:rsidTr="00667F23">
        <w:tc>
          <w:tcPr>
            <w:tcW w:w="384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2</w:t>
            </w:r>
          </w:p>
        </w:tc>
        <w:tc>
          <w:tcPr>
            <w:tcW w:w="1199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386" w:type="dxa"/>
            <w:shd w:val="clear" w:color="auto" w:fill="auto"/>
          </w:tcPr>
          <w:p w:rsidR="00667F23" w:rsidRPr="009647C4" w:rsidRDefault="003E36C3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184779,87</w:t>
            </w:r>
          </w:p>
        </w:tc>
        <w:tc>
          <w:tcPr>
            <w:tcW w:w="1294" w:type="dxa"/>
            <w:shd w:val="clear" w:color="auto" w:fill="auto"/>
          </w:tcPr>
          <w:p w:rsidR="00667F23" w:rsidRPr="009647C4" w:rsidRDefault="003E36C3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198057,36</w:t>
            </w:r>
          </w:p>
        </w:tc>
        <w:tc>
          <w:tcPr>
            <w:tcW w:w="1405" w:type="dxa"/>
            <w:shd w:val="clear" w:color="auto" w:fill="auto"/>
          </w:tcPr>
          <w:p w:rsidR="00667F23" w:rsidRPr="00443930" w:rsidRDefault="00443930" w:rsidP="0044393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43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184779,87</w:t>
            </w:r>
          </w:p>
        </w:tc>
        <w:tc>
          <w:tcPr>
            <w:tcW w:w="1399" w:type="dxa"/>
            <w:shd w:val="clear" w:color="auto" w:fill="auto"/>
          </w:tcPr>
          <w:p w:rsidR="00667F23" w:rsidRPr="009647C4" w:rsidRDefault="00443930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198057,36</w:t>
            </w:r>
          </w:p>
        </w:tc>
        <w:tc>
          <w:tcPr>
            <w:tcW w:w="1266" w:type="dxa"/>
            <w:shd w:val="clear" w:color="auto" w:fill="auto"/>
          </w:tcPr>
          <w:p w:rsidR="00667F23" w:rsidRPr="009647C4" w:rsidRDefault="00667F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667F23" w:rsidRPr="009647C4" w:rsidRDefault="00667F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67F23" w:rsidRPr="009647C4" w:rsidTr="00667F23">
        <w:tc>
          <w:tcPr>
            <w:tcW w:w="384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3</w:t>
            </w:r>
          </w:p>
        </w:tc>
        <w:tc>
          <w:tcPr>
            <w:tcW w:w="1199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010500000</w:t>
            </w:r>
          </w:p>
        </w:tc>
        <w:tc>
          <w:tcPr>
            <w:tcW w:w="1386" w:type="dxa"/>
            <w:shd w:val="clear" w:color="auto" w:fill="auto"/>
          </w:tcPr>
          <w:p w:rsidR="00667F23" w:rsidRPr="009647C4" w:rsidRDefault="003E36C3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13216,72</w:t>
            </w:r>
          </w:p>
        </w:tc>
        <w:tc>
          <w:tcPr>
            <w:tcW w:w="1294" w:type="dxa"/>
            <w:shd w:val="clear" w:color="auto" w:fill="auto"/>
          </w:tcPr>
          <w:p w:rsidR="00667F23" w:rsidRPr="009647C4" w:rsidRDefault="003E36C3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2854,00</w:t>
            </w:r>
          </w:p>
        </w:tc>
        <w:tc>
          <w:tcPr>
            <w:tcW w:w="1405" w:type="dxa"/>
            <w:shd w:val="clear" w:color="auto" w:fill="auto"/>
          </w:tcPr>
          <w:p w:rsidR="00667F23" w:rsidRPr="00C61D51" w:rsidRDefault="00443930" w:rsidP="00443930">
            <w:pPr>
              <w:suppressAutoHyphens/>
              <w:spacing w:after="0" w:line="360" w:lineRule="auto"/>
            </w:pPr>
            <w:r w:rsidRPr="0044393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13216,72</w:t>
            </w:r>
          </w:p>
        </w:tc>
        <w:tc>
          <w:tcPr>
            <w:tcW w:w="1399" w:type="dxa"/>
            <w:shd w:val="clear" w:color="auto" w:fill="auto"/>
          </w:tcPr>
          <w:p w:rsidR="00667F23" w:rsidRPr="009647C4" w:rsidRDefault="00443930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2854,00</w:t>
            </w:r>
          </w:p>
        </w:tc>
        <w:tc>
          <w:tcPr>
            <w:tcW w:w="1266" w:type="dxa"/>
            <w:shd w:val="clear" w:color="auto" w:fill="auto"/>
          </w:tcPr>
          <w:p w:rsidR="00667F23" w:rsidRPr="009647C4" w:rsidRDefault="00667F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667F23" w:rsidRPr="009647C4" w:rsidRDefault="00667F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C62A1" w:rsidRPr="009647C4" w:rsidTr="00667F23">
        <w:tc>
          <w:tcPr>
            <w:tcW w:w="384" w:type="dxa"/>
            <w:shd w:val="clear" w:color="auto" w:fill="auto"/>
          </w:tcPr>
          <w:p w:rsidR="006C62A1" w:rsidRPr="009647C4" w:rsidRDefault="0039057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4</w:t>
            </w:r>
          </w:p>
        </w:tc>
        <w:tc>
          <w:tcPr>
            <w:tcW w:w="1199" w:type="dxa"/>
            <w:shd w:val="clear" w:color="auto" w:fill="auto"/>
          </w:tcPr>
          <w:p w:rsidR="006C62A1" w:rsidRPr="009647C4" w:rsidRDefault="006C62A1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0204</w:t>
            </w: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86" w:type="dxa"/>
            <w:shd w:val="clear" w:color="auto" w:fill="auto"/>
          </w:tcPr>
          <w:p w:rsidR="006C62A1" w:rsidRPr="009647C4" w:rsidRDefault="006C62A1" w:rsidP="001D6E8B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46379626,08</w:t>
            </w:r>
          </w:p>
        </w:tc>
        <w:tc>
          <w:tcPr>
            <w:tcW w:w="1294" w:type="dxa"/>
            <w:shd w:val="clear" w:color="auto" w:fill="auto"/>
          </w:tcPr>
          <w:p w:rsidR="006C62A1" w:rsidRPr="009647C4" w:rsidRDefault="006C62A1" w:rsidP="00B031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46216076,79</w:t>
            </w:r>
          </w:p>
        </w:tc>
        <w:tc>
          <w:tcPr>
            <w:tcW w:w="1405" w:type="dxa"/>
            <w:shd w:val="clear" w:color="auto" w:fill="auto"/>
          </w:tcPr>
          <w:p w:rsidR="006C62A1" w:rsidRPr="002615F6" w:rsidRDefault="00473BFD" w:rsidP="002615F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15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46379626,08</w:t>
            </w:r>
          </w:p>
        </w:tc>
        <w:tc>
          <w:tcPr>
            <w:tcW w:w="1399" w:type="dxa"/>
            <w:shd w:val="clear" w:color="auto" w:fill="auto"/>
          </w:tcPr>
          <w:p w:rsidR="006C62A1" w:rsidRPr="009647C4" w:rsidRDefault="002615F6" w:rsidP="002615F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46216076,79</w:t>
            </w:r>
          </w:p>
        </w:tc>
        <w:tc>
          <w:tcPr>
            <w:tcW w:w="1266" w:type="dxa"/>
            <w:shd w:val="clear" w:color="auto" w:fill="auto"/>
          </w:tcPr>
          <w:p w:rsidR="006C62A1" w:rsidRPr="009647C4" w:rsidRDefault="006C62A1" w:rsidP="00F2303E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6C62A1" w:rsidRPr="009647C4" w:rsidRDefault="006C62A1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C62A1" w:rsidRPr="009647C4" w:rsidRDefault="006C62A1" w:rsidP="00887514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667F23">
        <w:tc>
          <w:tcPr>
            <w:tcW w:w="384" w:type="dxa"/>
            <w:shd w:val="clear" w:color="auto" w:fill="auto"/>
          </w:tcPr>
          <w:p w:rsidR="002615F6" w:rsidRPr="009647C4" w:rsidRDefault="0039057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5</w:t>
            </w:r>
          </w:p>
        </w:tc>
        <w:tc>
          <w:tcPr>
            <w:tcW w:w="119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020500000</w:t>
            </w:r>
          </w:p>
        </w:tc>
        <w:tc>
          <w:tcPr>
            <w:tcW w:w="1386" w:type="dxa"/>
            <w:shd w:val="clear" w:color="auto" w:fill="auto"/>
          </w:tcPr>
          <w:p w:rsidR="002615F6" w:rsidRPr="009647C4" w:rsidRDefault="002615F6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-1038701,44</w:t>
            </w:r>
          </w:p>
        </w:tc>
        <w:tc>
          <w:tcPr>
            <w:tcW w:w="1294" w:type="dxa"/>
            <w:shd w:val="clear" w:color="auto" w:fill="auto"/>
          </w:tcPr>
          <w:p w:rsidR="002615F6" w:rsidRPr="009647C4" w:rsidRDefault="002615F6" w:rsidP="006C62A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-40378,93</w:t>
            </w:r>
          </w:p>
        </w:tc>
        <w:tc>
          <w:tcPr>
            <w:tcW w:w="1405" w:type="dxa"/>
            <w:shd w:val="clear" w:color="auto" w:fill="auto"/>
          </w:tcPr>
          <w:p w:rsidR="002615F6" w:rsidRPr="009647C4" w:rsidRDefault="002615F6" w:rsidP="00F830B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-1038701,44</w:t>
            </w:r>
          </w:p>
        </w:tc>
        <w:tc>
          <w:tcPr>
            <w:tcW w:w="1399" w:type="dxa"/>
            <w:shd w:val="clear" w:color="auto" w:fill="auto"/>
          </w:tcPr>
          <w:p w:rsidR="002615F6" w:rsidRPr="009647C4" w:rsidRDefault="002615F6" w:rsidP="00F830B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-40378,93</w:t>
            </w:r>
          </w:p>
        </w:tc>
        <w:tc>
          <w:tcPr>
            <w:tcW w:w="1266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667F23">
        <w:tc>
          <w:tcPr>
            <w:tcW w:w="384" w:type="dxa"/>
            <w:shd w:val="clear" w:color="auto" w:fill="auto"/>
          </w:tcPr>
          <w:p w:rsidR="002615F6" w:rsidRPr="009647C4" w:rsidRDefault="0039057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6</w:t>
            </w:r>
          </w:p>
        </w:tc>
        <w:tc>
          <w:tcPr>
            <w:tcW w:w="119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020600000</w:t>
            </w:r>
          </w:p>
        </w:tc>
        <w:tc>
          <w:tcPr>
            <w:tcW w:w="1386" w:type="dxa"/>
            <w:shd w:val="clear" w:color="auto" w:fill="auto"/>
          </w:tcPr>
          <w:p w:rsidR="002615F6" w:rsidRPr="009647C4" w:rsidRDefault="002615F6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4356,85</w:t>
            </w:r>
          </w:p>
        </w:tc>
        <w:tc>
          <w:tcPr>
            <w:tcW w:w="129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6570,63</w:t>
            </w:r>
          </w:p>
        </w:tc>
        <w:tc>
          <w:tcPr>
            <w:tcW w:w="1405" w:type="dxa"/>
            <w:shd w:val="clear" w:color="auto" w:fill="auto"/>
          </w:tcPr>
          <w:p w:rsidR="002615F6" w:rsidRPr="002615F6" w:rsidRDefault="002615F6" w:rsidP="006904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15F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4356,85</w:t>
            </w:r>
          </w:p>
        </w:tc>
        <w:tc>
          <w:tcPr>
            <w:tcW w:w="1399" w:type="dxa"/>
            <w:shd w:val="clear" w:color="auto" w:fill="auto"/>
          </w:tcPr>
          <w:p w:rsidR="002615F6" w:rsidRPr="009647C4" w:rsidRDefault="002615F6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6570,63</w:t>
            </w:r>
          </w:p>
        </w:tc>
        <w:tc>
          <w:tcPr>
            <w:tcW w:w="1266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667F23">
        <w:tc>
          <w:tcPr>
            <w:tcW w:w="384" w:type="dxa"/>
            <w:shd w:val="clear" w:color="auto" w:fill="auto"/>
          </w:tcPr>
          <w:p w:rsidR="002615F6" w:rsidRPr="009647C4" w:rsidRDefault="0039057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7</w:t>
            </w:r>
          </w:p>
        </w:tc>
        <w:tc>
          <w:tcPr>
            <w:tcW w:w="119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030200000</w:t>
            </w:r>
          </w:p>
        </w:tc>
        <w:tc>
          <w:tcPr>
            <w:tcW w:w="1386" w:type="dxa"/>
            <w:shd w:val="clear" w:color="auto" w:fill="auto"/>
          </w:tcPr>
          <w:p w:rsidR="002615F6" w:rsidRPr="009647C4" w:rsidRDefault="002615F6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1400,84</w:t>
            </w:r>
          </w:p>
        </w:tc>
        <w:tc>
          <w:tcPr>
            <w:tcW w:w="129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:rsidR="002615F6" w:rsidRPr="00C61D51" w:rsidRDefault="00810D61" w:rsidP="006904C0">
            <w:r w:rsidRPr="00810D6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1400,84</w:t>
            </w:r>
          </w:p>
        </w:tc>
        <w:tc>
          <w:tcPr>
            <w:tcW w:w="1399" w:type="dxa"/>
            <w:shd w:val="clear" w:color="auto" w:fill="auto"/>
          </w:tcPr>
          <w:p w:rsidR="002615F6" w:rsidRPr="009647C4" w:rsidRDefault="00810D61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66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667F23">
        <w:tc>
          <w:tcPr>
            <w:tcW w:w="384" w:type="dxa"/>
            <w:shd w:val="clear" w:color="auto" w:fill="auto"/>
          </w:tcPr>
          <w:p w:rsidR="002615F6" w:rsidRPr="009647C4" w:rsidRDefault="0039057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8</w:t>
            </w:r>
          </w:p>
        </w:tc>
        <w:tc>
          <w:tcPr>
            <w:tcW w:w="119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030300000</w:t>
            </w:r>
          </w:p>
        </w:tc>
        <w:tc>
          <w:tcPr>
            <w:tcW w:w="1386" w:type="dxa"/>
            <w:shd w:val="clear" w:color="auto" w:fill="auto"/>
          </w:tcPr>
          <w:p w:rsidR="002615F6" w:rsidRPr="009647C4" w:rsidRDefault="002615F6" w:rsidP="0073180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54903,77</w:t>
            </w:r>
          </w:p>
        </w:tc>
        <w:tc>
          <w:tcPr>
            <w:tcW w:w="129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-494,06</w:t>
            </w:r>
          </w:p>
        </w:tc>
        <w:tc>
          <w:tcPr>
            <w:tcW w:w="1405" w:type="dxa"/>
            <w:shd w:val="clear" w:color="auto" w:fill="auto"/>
          </w:tcPr>
          <w:p w:rsidR="002615F6" w:rsidRPr="00810D61" w:rsidRDefault="00810D61" w:rsidP="006904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10D6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54903,77</w:t>
            </w:r>
          </w:p>
        </w:tc>
        <w:tc>
          <w:tcPr>
            <w:tcW w:w="1399" w:type="dxa"/>
            <w:shd w:val="clear" w:color="auto" w:fill="auto"/>
          </w:tcPr>
          <w:p w:rsidR="002615F6" w:rsidRPr="009647C4" w:rsidRDefault="002615F6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66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667F23">
        <w:trPr>
          <w:trHeight w:val="662"/>
        </w:trPr>
        <w:tc>
          <w:tcPr>
            <w:tcW w:w="384" w:type="dxa"/>
            <w:shd w:val="clear" w:color="auto" w:fill="auto"/>
          </w:tcPr>
          <w:p w:rsidR="002615F6" w:rsidRPr="009647C4" w:rsidRDefault="0039057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9</w:t>
            </w:r>
          </w:p>
        </w:tc>
        <w:tc>
          <w:tcPr>
            <w:tcW w:w="119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386" w:type="dxa"/>
            <w:shd w:val="clear" w:color="auto" w:fill="auto"/>
          </w:tcPr>
          <w:p w:rsidR="002615F6" w:rsidRPr="009647C4" w:rsidRDefault="002615F6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45316217,08</w:t>
            </w:r>
          </w:p>
        </w:tc>
        <w:tc>
          <w:tcPr>
            <w:tcW w:w="1294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46197571,02</w:t>
            </w:r>
          </w:p>
        </w:tc>
        <w:tc>
          <w:tcPr>
            <w:tcW w:w="1405" w:type="dxa"/>
            <w:shd w:val="clear" w:color="auto" w:fill="auto"/>
          </w:tcPr>
          <w:p w:rsidR="002615F6" w:rsidRPr="00A14238" w:rsidRDefault="00A14238" w:rsidP="006904C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423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45316217,08</w:t>
            </w:r>
          </w:p>
        </w:tc>
        <w:tc>
          <w:tcPr>
            <w:tcW w:w="1399" w:type="dxa"/>
            <w:shd w:val="clear" w:color="auto" w:fill="auto"/>
          </w:tcPr>
          <w:p w:rsidR="002615F6" w:rsidRPr="009647C4" w:rsidRDefault="00A14238" w:rsidP="006904C0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46197571,02</w:t>
            </w:r>
          </w:p>
        </w:tc>
        <w:tc>
          <w:tcPr>
            <w:tcW w:w="1266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615F6" w:rsidRPr="009647C4" w:rsidRDefault="002615F6" w:rsidP="00887514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9647C4" w:rsidRDefault="00B90AE2" w:rsidP="00F62F87">
      <w:pPr>
        <w:suppressAutoHyphens/>
        <w:spacing w:after="0" w:line="240" w:lineRule="auto"/>
        <w:ind w:right="-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установлено, что баланс составлен на основании данных главной книги, что соответствует требованиям 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E95618" w:rsidRDefault="009647C4" w:rsidP="002D0049">
      <w:pPr>
        <w:suppressAutoHyphens/>
        <w:spacing w:after="0" w:line="240" w:lineRule="auto"/>
        <w:ind w:right="-471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E95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>онтрольны</w:t>
      </w:r>
      <w:r w:rsidR="00E95618">
        <w:rPr>
          <w:rFonts w:ascii="Times New Roman" w:hAnsi="Times New Roman" w:cs="Times New Roman"/>
          <w:bCs/>
          <w:sz w:val="28"/>
          <w:szCs w:val="28"/>
        </w:rPr>
        <w:t>х соотношений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 xml:space="preserve"> между показателями форм</w:t>
      </w:r>
      <w:r w:rsidR="00365B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 xml:space="preserve"> бюджетной отчетности  Отдела культуры </w:t>
      </w:r>
      <w:r w:rsidR="00365B5D">
        <w:rPr>
          <w:rFonts w:ascii="Times New Roman" w:hAnsi="Times New Roman" w:cs="Times New Roman"/>
          <w:bCs/>
          <w:sz w:val="28"/>
          <w:szCs w:val="28"/>
        </w:rPr>
        <w:t>администрации МО Тбилисский район</w:t>
      </w:r>
      <w:r w:rsidR="00E95618">
        <w:rPr>
          <w:rFonts w:ascii="Times New Roman" w:hAnsi="Times New Roman" w:cs="Times New Roman"/>
          <w:bCs/>
          <w:sz w:val="28"/>
          <w:szCs w:val="28"/>
        </w:rPr>
        <w:t xml:space="preserve"> отражена в приложении 1.</w:t>
      </w:r>
    </w:p>
    <w:p w:rsidR="00E95618" w:rsidRDefault="00E95618" w:rsidP="006059CF">
      <w:pPr>
        <w:suppressAutoHyphens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расхождений между отчетными формами по контрольным соотношениям не установлено.</w:t>
      </w:r>
    </w:p>
    <w:p w:rsidR="00185F2C" w:rsidRDefault="00185F2C" w:rsidP="00185F2C">
      <w:pPr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Из представленной формы 0503130 «Баланс учреждения» установлено, ч</w:t>
      </w:r>
      <w:r w:rsidR="00DD19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то валюта баланса в течение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увеличилась </w:t>
      </w:r>
      <w:r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</w:t>
      </w:r>
      <w:r w:rsidR="006866E0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824555,27</w:t>
      </w:r>
      <w:r w:rsidR="00984B89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85F2C" w:rsidRDefault="00185F2C" w:rsidP="00185F2C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Увеличение в активе валюты баланса произошло за счет:</w:t>
      </w:r>
    </w:p>
    <w:p w:rsidR="00185F2C" w:rsidRDefault="00F96BEC" w:rsidP="00185F2C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260B71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увеличения</w:t>
      </w:r>
      <w:r w:rsidR="00185F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нефинансовых активов – на сумму </w:t>
      </w:r>
      <w:r w:rsidR="006866E0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</w:t>
      </w:r>
      <w:r w:rsidR="00260B71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208,48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84B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85F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</w:t>
      </w:r>
      <w:r w:rsidR="000835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60B71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(принят к учету сейф железный)</w:t>
      </w:r>
      <w:r w:rsidR="00185F2C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185F2C" w:rsidRDefault="00185F2C" w:rsidP="004C4B38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96BEC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уменьшение</w:t>
      </w:r>
      <w:r w:rsidR="00F96B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финансовых активов – на сумму </w:t>
      </w:r>
      <w:r w:rsidR="004C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824555,27</w:t>
      </w:r>
      <w:r w:rsidR="00CB2F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</w:t>
      </w:r>
      <w:r w:rsidR="00CB2F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 w:rsidR="004C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C4B38" w:rsidRPr="00AB4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(финансовые вложения в рамках участия в капитале</w:t>
      </w:r>
      <w:r w:rsidR="004C4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расчеты по доходам).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85F2C" w:rsidRDefault="00185F2C" w:rsidP="006866E0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Увеличение в пассиве валюты баланса произошло за счет:</w:t>
      </w:r>
    </w:p>
    <w:p w:rsidR="00781D1F" w:rsidRDefault="00185F2C" w:rsidP="00781D1F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финансового результата – на сумму</w:t>
      </w:r>
      <w:r w:rsidR="00CB2F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96BE8" w:rsidRP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881353,</w:t>
      </w:r>
      <w:r w:rsidR="00696B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</w:t>
      </w:r>
      <w:r w:rsidR="00CB2F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лей</w:t>
      </w:r>
      <w:r w:rsidR="00781D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(расходы на выполнение текстовых статей бюджета района).</w:t>
      </w:r>
    </w:p>
    <w:p w:rsidR="00185F2C" w:rsidRDefault="00185F2C" w:rsidP="00185F2C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85F2C" w:rsidRDefault="00185F2C" w:rsidP="00185F2C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   Изменен</w:t>
      </w:r>
      <w:r w:rsidR="007D39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ие валюты баланса в течение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соответствует показателям формы 0503121 «Отчет о результатах деятельности» и формы 0503168 «Движен</w:t>
      </w:r>
      <w:r w:rsidR="007D39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ие нефинансовых активов» за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год.</w:t>
      </w:r>
    </w:p>
    <w:p w:rsidR="00185F2C" w:rsidRDefault="0080318C" w:rsidP="00CB2F82">
      <w:pPr>
        <w:suppressAutoHyphens/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состоянию на 31.12.2014</w:t>
      </w:r>
      <w:r w:rsidR="00185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на счете 106.00 «</w:t>
      </w:r>
      <w:r w:rsidR="00185F2C" w:rsidRPr="00A05442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Объекты незавершенного строительства</w:t>
      </w:r>
      <w:r w:rsidR="00185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CB2F82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остаток отсутствует.</w:t>
      </w:r>
    </w:p>
    <w:p w:rsidR="00954F8C" w:rsidRPr="0015415D" w:rsidRDefault="00185F2C" w:rsidP="00954F8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F668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составе </w:t>
      </w:r>
      <w:r w:rsidRPr="000835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дебиторской</w:t>
      </w:r>
      <w:r w:rsidRPr="00083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668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задолженности по балансовому счету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206</w:t>
      </w:r>
      <w:r w:rsidR="008B39D5">
        <w:rPr>
          <w:rFonts w:ascii="Times New Roman" w:eastAsia="Times New Roman" w:hAnsi="Times New Roman" w:cs="Times New Roman"/>
          <w:sz w:val="28"/>
          <w:szCs w:val="28"/>
          <w:lang w:eastAsia="ar-SA"/>
        </w:rPr>
        <w:t>.21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8B39D5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Расчеты по</w:t>
      </w:r>
      <w:r w:rsidRPr="00F668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авансам</w:t>
      </w:r>
      <w:r w:rsidR="008B39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услугам связи</w:t>
      </w:r>
      <w:r w:rsidR="00AA4CA2">
        <w:rPr>
          <w:rFonts w:ascii="Times New Roman" w:eastAsia="Times New Roman" w:hAnsi="Times New Roman" w:cs="Times New Roman"/>
          <w:sz w:val="28"/>
          <w:szCs w:val="28"/>
          <w:lang w:eastAsia="ar-SA"/>
        </w:rPr>
        <w:t>» остаток на 31.12.2014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составил </w:t>
      </w:r>
      <w:r w:rsidR="00AA4CA2">
        <w:rPr>
          <w:rFonts w:ascii="Times New Roman" w:eastAsia="Times New Roman" w:hAnsi="Times New Roman" w:cs="Times New Roman"/>
          <w:sz w:val="28"/>
          <w:szCs w:val="28"/>
          <w:lang w:eastAsia="ar-SA"/>
        </w:rPr>
        <w:t>6570,63</w:t>
      </w:r>
      <w:r w:rsidR="00984B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="0008355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="000502E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083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02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Дебиторская задолженность образовалась по контрагенту ОАО «Ростелеком» так как договором предусмотрено оплата текущего платежа в размере 100 % стоимости услуг связи предыдущего расчетного периода за услуги связи. </w:t>
      </w:r>
      <w:r w:rsidR="00954F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Централизованной бухгалтерией представлены копии актов сверки, подтверждающие обоснование объемов дебиторской задолженности. </w:t>
      </w:r>
    </w:p>
    <w:p w:rsidR="00165DCC" w:rsidRPr="007F3BBA" w:rsidRDefault="007F3BBA" w:rsidP="007F3BBA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расчетам с бюджетом по обязательным страховым взносам в пенсионный фонд и фонды медицинского и социального страхования по состоянию на 31.12.2013г. сложилась задолженность в сумме </w:t>
      </w:r>
      <w:r w:rsidR="00AA4CA2">
        <w:rPr>
          <w:rFonts w:ascii="Times New Roman" w:eastAsia="Times New Roman" w:hAnsi="Times New Roman" w:cs="Times New Roman"/>
          <w:sz w:val="28"/>
          <w:szCs w:val="28"/>
          <w:lang w:eastAsia="ar-SA"/>
        </w:rPr>
        <w:t>-494,06</w:t>
      </w:r>
      <w:r w:rsidR="000835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5F2C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="0008355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="00CF4C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том числе:</w:t>
      </w:r>
    </w:p>
    <w:p w:rsidR="00CF4CB5" w:rsidRPr="00CF4CB5" w:rsidRDefault="00CF4CB5" w:rsidP="00CF4CB5">
      <w:pPr>
        <w:numPr>
          <w:ilvl w:val="0"/>
          <w:numId w:val="8"/>
        </w:numPr>
        <w:tabs>
          <w:tab w:val="clear" w:pos="720"/>
          <w:tab w:val="num" w:pos="0"/>
          <w:tab w:val="left" w:pos="570"/>
        </w:tabs>
        <w:suppressAutoHyphens/>
        <w:spacing w:after="0" w:line="240" w:lineRule="auto"/>
        <w:ind w:left="-60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CB5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 303.11 «Расчеты по страховым взносам на обязательное пенсионное страхование на выплату накопительной страховой пенсии» сумма 1,01 руб. - УФК по Кр. кр. (Отделение пенсионного фонда Российской Федерации (государственное учреждение) по Кр.кр.за декабрь 2014г.)</w:t>
      </w:r>
    </w:p>
    <w:p w:rsidR="00CF4CB5" w:rsidRPr="00CF4CB5" w:rsidRDefault="00CF4CB5" w:rsidP="00CF4CB5">
      <w:pPr>
        <w:numPr>
          <w:ilvl w:val="0"/>
          <w:numId w:val="8"/>
        </w:numPr>
        <w:tabs>
          <w:tab w:val="clear" w:pos="720"/>
          <w:tab w:val="num" w:pos="0"/>
          <w:tab w:val="left" w:pos="570"/>
        </w:tabs>
        <w:suppressAutoHyphens/>
        <w:spacing w:after="0" w:line="240" w:lineRule="auto"/>
        <w:ind w:left="-60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CB5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 303.06 «Расчеты по страховым взносам на обязательное социальное страхование от несчастных случаев на производстве и профессиональных заболеваниях» на сумму -1,04 руб. -  (Государственное учреждение - Краснодарское региональное отделение Фонда социального страхования Российской Федерации за декабрь 2014г.)</w:t>
      </w:r>
    </w:p>
    <w:p w:rsidR="00CF4CB5" w:rsidRPr="00CF4CB5" w:rsidRDefault="00CF4CB5" w:rsidP="00CF4CB5">
      <w:pPr>
        <w:numPr>
          <w:ilvl w:val="0"/>
          <w:numId w:val="8"/>
        </w:numPr>
        <w:tabs>
          <w:tab w:val="clear" w:pos="720"/>
          <w:tab w:val="num" w:pos="0"/>
          <w:tab w:val="left" w:pos="570"/>
        </w:tabs>
        <w:suppressAutoHyphens/>
        <w:spacing w:after="0" w:line="240" w:lineRule="auto"/>
        <w:ind w:left="-60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CB5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 303.10 «Расчеты по страховым взносам на обязательное пенсионное страхование на выплату страховой части трудовой пенсии» на сумму -307,03 руб. УФК по Кр. кр. (Отделение пенсионного фонда Российской Федерации (государственное учреждение) по Кр.кр.за декабрь 2014г.)</w:t>
      </w:r>
    </w:p>
    <w:p w:rsidR="00CF4CB5" w:rsidRPr="00CF4CB5" w:rsidRDefault="00CF4CB5" w:rsidP="00CF4CB5">
      <w:pPr>
        <w:numPr>
          <w:ilvl w:val="0"/>
          <w:numId w:val="8"/>
        </w:numPr>
        <w:tabs>
          <w:tab w:val="clear" w:pos="720"/>
          <w:tab w:val="num" w:pos="0"/>
          <w:tab w:val="left" w:pos="570"/>
        </w:tabs>
        <w:suppressAutoHyphens/>
        <w:spacing w:after="0" w:line="240" w:lineRule="auto"/>
        <w:ind w:left="-60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CB5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 303.12 «Расчеты по налогу на имущество организаций» на сумму -187,00 руб. - УФК по Кр. кр.(Межрайонная ИНФС России №5 по Краснодарскому краю)</w:t>
      </w:r>
    </w:p>
    <w:p w:rsidR="00E27C22" w:rsidRDefault="00185F2C" w:rsidP="00052EB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B2B2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Исполнение местного бюджета по казначейской системе осуществлялось с использованием лицевых счетов бюджетных средств, открытых ФУ администрации муниципального образования Тбилисский район. </w:t>
      </w:r>
    </w:p>
    <w:p w:rsidR="00052EB7" w:rsidRDefault="00871599" w:rsidP="00052EB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Бюджетные назначения на 2014</w:t>
      </w:r>
      <w:r w:rsidR="0080589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 утверждены в сумме 46018054,00</w:t>
      </w:r>
      <w:r w:rsidR="0080589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Кассовый расход составил за 2014 год в сумме 45790882,49</w:t>
      </w:r>
      <w:r w:rsidR="0080589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Исполнение бюджета в 2014 году – 99,5</w:t>
      </w:r>
      <w:r w:rsidR="00E27C2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%.</w:t>
      </w:r>
    </w:p>
    <w:p w:rsidR="00185F2C" w:rsidRDefault="00185F2C" w:rsidP="00052EB7">
      <w:pPr>
        <w:suppressAutoHyphens/>
        <w:spacing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Поступления </w:t>
      </w:r>
      <w:r w:rsidRPr="00A24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 счет субвенций краевого </w:t>
      </w:r>
      <w:r w:rsidR="00B44C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федерального </w:t>
      </w:r>
      <w:r w:rsidRPr="00A24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бюджет</w:t>
      </w:r>
      <w:r w:rsidR="00B44C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ов</w:t>
      </w:r>
      <w:r w:rsidRPr="00A24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переданным отдельным государственным полномочиям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году составили 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62036</w:t>
      </w:r>
      <w:r w:rsidR="00B44C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00,0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3614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рублей, кассовый расход составил 6191673, 23 рублей, что составило 99,8 %.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Суммы поступивших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межбюджетных трансфертов в 2014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году отражены в формах №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0503324 и №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0503324К. </w:t>
      </w:r>
    </w:p>
    <w:p w:rsidR="00185F2C" w:rsidRPr="00D66314" w:rsidRDefault="00185F2C" w:rsidP="00185F2C">
      <w:pPr>
        <w:suppressAutoHyphens/>
        <w:spacing w:before="240" w:after="0" w:line="240" w:lineRule="auto"/>
        <w:ind w:left="-30" w:firstLine="780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 w:rsidRPr="007B2B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Взаимоотношения по предоставлению и использованию субвенций, субсидий от бюджетов других уровней регулируются заключенными Соглашениями.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</w:t>
      </w:r>
      <w:r w:rsidRPr="007B2B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еиспользованные остатки субвенций, субсидий от бюджетов других уровней </w:t>
      </w:r>
      <w:r w:rsidRPr="007B2B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возвращены в установленном порядке администраторам доходов краевого бюджета</w:t>
      </w:r>
      <w:r w:rsidR="00870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</w:t>
      </w:r>
      <w:r w:rsidR="008707C1" w:rsidRPr="009A3A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сумме 11926,77</w:t>
      </w:r>
      <w:r w:rsidR="00052EB7" w:rsidRPr="009A3A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185F2C" w:rsidRDefault="00185F2C" w:rsidP="0080589B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E263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заключенными соглашениями приняты к исполнению отдельные обязательства поселений муниципально</w:t>
      </w:r>
      <w:r w:rsidR="008058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го образования Тбилисский район </w:t>
      </w:r>
      <w:r w:rsidR="00117D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части библиотечного обслуживания населения по переданным полномочиям.</w:t>
      </w:r>
    </w:p>
    <w:p w:rsidR="00185F2C" w:rsidRDefault="00185F2C" w:rsidP="00185F2C">
      <w:pPr>
        <w:suppressAutoHyphens/>
        <w:spacing w:after="0" w:line="240" w:lineRule="auto"/>
        <w:ind w:right="-471"/>
        <w:outlineLvl w:val="0"/>
        <w:rPr>
          <w:rFonts w:ascii="Times New Roman" w:hAnsi="Times New Roman" w:cs="Times New Roman"/>
          <w:sz w:val="28"/>
          <w:szCs w:val="28"/>
        </w:rPr>
      </w:pPr>
      <w:r w:rsidRPr="00383B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45D65">
        <w:rPr>
          <w:rFonts w:ascii="Times New Roman" w:hAnsi="Times New Roman" w:cs="Times New Roman"/>
          <w:b/>
          <w:sz w:val="28"/>
          <w:szCs w:val="28"/>
        </w:rPr>
        <w:t>Анализ пояснительной записки:</w:t>
      </w:r>
      <w:r w:rsidRPr="00945D65">
        <w:rPr>
          <w:rFonts w:ascii="Times New Roman" w:hAnsi="Times New Roman" w:cs="Times New Roman"/>
          <w:sz w:val="28"/>
          <w:szCs w:val="28"/>
        </w:rPr>
        <w:t xml:space="preserve">   Форма по ОКУД 0503160 </w:t>
      </w:r>
    </w:p>
    <w:p w:rsidR="00185F2C" w:rsidRPr="009D05F5" w:rsidRDefault="00185F2C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D05F5">
        <w:rPr>
          <w:rFonts w:ascii="Times New Roman" w:hAnsi="Times New Roman" w:cs="Times New Roman"/>
          <w:sz w:val="28"/>
          <w:szCs w:val="28"/>
        </w:rPr>
        <w:t xml:space="preserve">  Пояснительная записка </w:t>
      </w:r>
      <w:r w:rsidR="00365B5D" w:rsidRPr="009D05F5">
        <w:rPr>
          <w:rFonts w:ascii="Times New Roman" w:hAnsi="Times New Roman" w:cs="Times New Roman"/>
          <w:sz w:val="28"/>
          <w:szCs w:val="28"/>
        </w:rPr>
        <w:t>в отчете О</w:t>
      </w:r>
      <w:r w:rsidR="0041246D" w:rsidRPr="009D05F5">
        <w:rPr>
          <w:rFonts w:ascii="Times New Roman" w:hAnsi="Times New Roman" w:cs="Times New Roman"/>
          <w:sz w:val="28"/>
          <w:szCs w:val="28"/>
        </w:rPr>
        <w:t xml:space="preserve">тдела культуры администрации МО Тбилисский район </w:t>
      </w:r>
      <w:r w:rsidRPr="009D05F5">
        <w:rPr>
          <w:rFonts w:ascii="Times New Roman" w:hAnsi="Times New Roman" w:cs="Times New Roman"/>
          <w:sz w:val="28"/>
          <w:szCs w:val="28"/>
        </w:rPr>
        <w:t>составлена в соответствии с требованиями  инструкции № 191н, за исключением следующих замечаний</w:t>
      </w:r>
      <w:r w:rsidR="00F179D1" w:rsidRPr="009D05F5">
        <w:rPr>
          <w:rFonts w:ascii="Times New Roman" w:hAnsi="Times New Roman" w:cs="Times New Roman"/>
          <w:sz w:val="28"/>
          <w:szCs w:val="28"/>
        </w:rPr>
        <w:t>.</w:t>
      </w:r>
    </w:p>
    <w:p w:rsidR="00F179D1" w:rsidRDefault="00F179D1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17D6C">
        <w:rPr>
          <w:rFonts w:ascii="Times New Roman" w:hAnsi="Times New Roman" w:cs="Times New Roman"/>
          <w:sz w:val="28"/>
          <w:szCs w:val="28"/>
        </w:rPr>
        <w:t>нарушение п.162 Инструкции 191Н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5F2C" w:rsidRDefault="00D17D6C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F2C">
        <w:rPr>
          <w:rFonts w:ascii="Times New Roman" w:hAnsi="Times New Roman" w:cs="Times New Roman"/>
          <w:sz w:val="28"/>
          <w:szCs w:val="28"/>
        </w:rPr>
        <w:t>не представлена форма 0503163 «Сведения об изменении бюджетной росписи»</w:t>
      </w:r>
      <w:r w:rsidR="00052EB7">
        <w:rPr>
          <w:rFonts w:ascii="Times New Roman" w:hAnsi="Times New Roman" w:cs="Times New Roman"/>
          <w:sz w:val="28"/>
          <w:szCs w:val="28"/>
        </w:rPr>
        <w:t>, фактически изменения в бюджетную роспись по данному главному администратору в течение года были вне</w:t>
      </w:r>
      <w:r w:rsidR="00CB7084">
        <w:rPr>
          <w:rFonts w:ascii="Times New Roman" w:hAnsi="Times New Roman" w:cs="Times New Roman"/>
          <w:sz w:val="28"/>
          <w:szCs w:val="28"/>
        </w:rPr>
        <w:t>сены, сметные назначения уменьши</w:t>
      </w:r>
      <w:r w:rsidR="00052EB7">
        <w:rPr>
          <w:rFonts w:ascii="Times New Roman" w:hAnsi="Times New Roman" w:cs="Times New Roman"/>
          <w:sz w:val="28"/>
          <w:szCs w:val="28"/>
        </w:rPr>
        <w:t xml:space="preserve">лись на </w:t>
      </w:r>
      <w:r w:rsidR="00CB7084" w:rsidRPr="00CB7084">
        <w:rPr>
          <w:rFonts w:ascii="Times New Roman" w:hAnsi="Times New Roman" w:cs="Times New Roman"/>
          <w:sz w:val="28"/>
          <w:szCs w:val="28"/>
        </w:rPr>
        <w:t>3963,946 рублей (49982,000 тыс. руб. – 46018,054</w:t>
      </w:r>
      <w:r w:rsidR="00052EB7" w:rsidRPr="00CB7084">
        <w:rPr>
          <w:rFonts w:ascii="Times New Roman" w:hAnsi="Times New Roman" w:cs="Times New Roman"/>
          <w:sz w:val="28"/>
          <w:szCs w:val="28"/>
        </w:rPr>
        <w:t xml:space="preserve"> тыс. р</w:t>
      </w:r>
      <w:r w:rsidR="008B5BD4" w:rsidRPr="00CB7084">
        <w:rPr>
          <w:rFonts w:ascii="Times New Roman" w:hAnsi="Times New Roman" w:cs="Times New Roman"/>
          <w:sz w:val="28"/>
          <w:szCs w:val="28"/>
        </w:rPr>
        <w:t>уб.</w:t>
      </w:r>
      <w:r w:rsidR="00052EB7" w:rsidRPr="00CB7084">
        <w:rPr>
          <w:rFonts w:ascii="Times New Roman" w:hAnsi="Times New Roman" w:cs="Times New Roman"/>
          <w:sz w:val="28"/>
          <w:szCs w:val="28"/>
        </w:rPr>
        <w:t>)</w:t>
      </w:r>
      <w:r w:rsidRPr="00CB7084">
        <w:rPr>
          <w:rFonts w:ascii="Times New Roman" w:hAnsi="Times New Roman" w:cs="Times New Roman"/>
          <w:sz w:val="28"/>
          <w:szCs w:val="28"/>
        </w:rPr>
        <w:t>;</w:t>
      </w:r>
    </w:p>
    <w:p w:rsidR="00365B5D" w:rsidRDefault="00365B5D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</w:t>
      </w:r>
      <w:r w:rsidR="00D17D6C">
        <w:rPr>
          <w:rFonts w:ascii="Times New Roman" w:hAnsi="Times New Roman" w:cs="Times New Roman"/>
          <w:sz w:val="28"/>
          <w:szCs w:val="28"/>
        </w:rPr>
        <w:t xml:space="preserve">152, </w:t>
      </w:r>
      <w:r>
        <w:rPr>
          <w:rFonts w:ascii="Times New Roman" w:hAnsi="Times New Roman" w:cs="Times New Roman"/>
          <w:sz w:val="28"/>
          <w:szCs w:val="28"/>
        </w:rPr>
        <w:t>154</w:t>
      </w:r>
      <w:r w:rsidR="00F96FA7">
        <w:rPr>
          <w:rFonts w:ascii="Times New Roman" w:hAnsi="Times New Roman" w:cs="Times New Roman"/>
          <w:sz w:val="28"/>
          <w:szCs w:val="28"/>
        </w:rPr>
        <w:t>, 157,158</w:t>
      </w:r>
      <w:r w:rsidR="00831E29">
        <w:rPr>
          <w:rFonts w:ascii="Times New Roman" w:hAnsi="Times New Roman" w:cs="Times New Roman"/>
          <w:sz w:val="28"/>
          <w:szCs w:val="28"/>
        </w:rPr>
        <w:t>, 159</w:t>
      </w:r>
      <w:r>
        <w:rPr>
          <w:rFonts w:ascii="Times New Roman" w:hAnsi="Times New Roman" w:cs="Times New Roman"/>
          <w:sz w:val="28"/>
          <w:szCs w:val="28"/>
        </w:rPr>
        <w:t xml:space="preserve"> Инструкции 191Н:</w:t>
      </w:r>
    </w:p>
    <w:p w:rsidR="00D17D6C" w:rsidRDefault="00D17D6C" w:rsidP="00D17D6C">
      <w:pPr>
        <w:pStyle w:val="aff3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8C4A40">
        <w:rPr>
          <w:rFonts w:ascii="Times New Roman" w:hAnsi="Times New Roman" w:cs="Times New Roman"/>
          <w:kern w:val="1"/>
          <w:sz w:val="28"/>
          <w:szCs w:val="28"/>
        </w:rPr>
        <w:t>- перечень форм отчетности, не включенных в состав бюджетной отчетности в виду отсутствия числовых показателей</w:t>
      </w:r>
      <w:r>
        <w:rPr>
          <w:rFonts w:ascii="Times New Roman" w:hAnsi="Times New Roman" w:cs="Times New Roman"/>
          <w:kern w:val="1"/>
          <w:sz w:val="28"/>
          <w:szCs w:val="28"/>
        </w:rPr>
        <w:t>, не сформирован в пятом разделе пояснительной записки;</w:t>
      </w:r>
      <w:r w:rsidRPr="008C4A40">
        <w:rPr>
          <w:rFonts w:ascii="Times New Roman" w:hAnsi="Times New Roman" w:cs="Times New Roman"/>
          <w:kern w:val="1"/>
          <w:sz w:val="28"/>
          <w:szCs w:val="28"/>
        </w:rPr>
        <w:t xml:space="preserve">   </w:t>
      </w:r>
    </w:p>
    <w:p w:rsidR="00365B5D" w:rsidRDefault="00365B5D" w:rsidP="00D17D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2 «Сведения о мерах по повышению эффективности расходования бюджетных средств» представлена с незаполненными графами 2-4, в графе 5 не отражены показатели, характеризующие степень результативности</w:t>
      </w:r>
      <w:r w:rsidR="00F96FA7">
        <w:rPr>
          <w:rFonts w:ascii="Times New Roman" w:hAnsi="Times New Roman" w:cs="Times New Roman"/>
          <w:sz w:val="28"/>
          <w:szCs w:val="28"/>
        </w:rPr>
        <w:t xml:space="preserve"> применения мер по повышению эффективности расходования бюджетных средств;</w:t>
      </w:r>
    </w:p>
    <w:p w:rsidR="00654949" w:rsidRDefault="00654949" w:rsidP="008B5BD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</w:t>
      </w:r>
      <w:r w:rsidR="00F96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«Сведения о результатах мероприятий внутреннего контроля» предст</w:t>
      </w:r>
      <w:r w:rsidR="00F96FA7">
        <w:rPr>
          <w:rFonts w:ascii="Times New Roman" w:hAnsi="Times New Roman" w:cs="Times New Roman"/>
          <w:sz w:val="28"/>
          <w:szCs w:val="28"/>
        </w:rPr>
        <w:t>авлена с незаполненными графами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6FA7" w:rsidRDefault="00F96FA7" w:rsidP="008B5BD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6 «Сведения о проведении инвентаризаций» представлена не в полном объёме, не указан приказ № 38-К от 18.11.2014 о проведении инвентаризации в муниципальном казенном учреждении культуры «Тбилисский методический центр культуры»</w:t>
      </w:r>
      <w:r w:rsidR="00731559">
        <w:rPr>
          <w:rFonts w:ascii="Times New Roman" w:hAnsi="Times New Roman" w:cs="Times New Roman"/>
          <w:sz w:val="28"/>
          <w:szCs w:val="28"/>
        </w:rPr>
        <w:t>;</w:t>
      </w:r>
    </w:p>
    <w:p w:rsidR="00F45878" w:rsidRDefault="00F45878" w:rsidP="008B5BD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0F1B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 7 «Сведения о результатах внешних контрольных мероприятий» </w:t>
      </w:r>
      <w:r w:rsidR="002C0F1B">
        <w:rPr>
          <w:rFonts w:ascii="Times New Roman" w:hAnsi="Times New Roman" w:cs="Times New Roman"/>
          <w:sz w:val="28"/>
          <w:szCs w:val="28"/>
        </w:rPr>
        <w:t>не отражены результаты контрольного мероприятия «П</w:t>
      </w:r>
      <w:r w:rsidR="00731559">
        <w:rPr>
          <w:rFonts w:ascii="Times New Roman" w:hAnsi="Times New Roman" w:cs="Times New Roman"/>
          <w:sz w:val="28"/>
          <w:szCs w:val="28"/>
        </w:rPr>
        <w:t>роверка годовой бюджетной отчетности Отдела культуры администрации муниципального образования Тбилисский район за 2013 год</w:t>
      </w:r>
      <w:r w:rsidR="002C0F1B">
        <w:rPr>
          <w:rFonts w:ascii="Times New Roman" w:hAnsi="Times New Roman" w:cs="Times New Roman"/>
          <w:sz w:val="28"/>
          <w:szCs w:val="28"/>
        </w:rPr>
        <w:t>»</w:t>
      </w:r>
      <w:r w:rsidR="00731559">
        <w:rPr>
          <w:rFonts w:ascii="Times New Roman" w:hAnsi="Times New Roman" w:cs="Times New Roman"/>
          <w:sz w:val="28"/>
          <w:szCs w:val="28"/>
        </w:rPr>
        <w:t>.</w:t>
      </w:r>
    </w:p>
    <w:p w:rsidR="00E87F4D" w:rsidRDefault="00E87F4D" w:rsidP="00E87F4D">
      <w:pPr>
        <w:tabs>
          <w:tab w:val="left" w:pos="8085"/>
        </w:tabs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основании выше изложенного, контрольно-счетная палата считает, что</w:t>
      </w:r>
      <w:r w:rsidR="00185F2C" w:rsidRPr="00440392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   </w:t>
      </w:r>
      <w:r w:rsidR="00D17D6C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ab/>
      </w:r>
    </w:p>
    <w:p w:rsidR="00750D3E" w:rsidRPr="00E87F4D" w:rsidRDefault="00E87F4D" w:rsidP="00E87F4D">
      <w:pPr>
        <w:tabs>
          <w:tab w:val="left" w:pos="8085"/>
        </w:tabs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0D3E" w:rsidRPr="00E8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ояснительная записка, представленная к проверке в составе бюджетной отчетности, сформирована </w:t>
      </w:r>
      <w:r w:rsidR="00A54918" w:rsidRPr="00E8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 полном объеме </w:t>
      </w:r>
      <w:r w:rsidR="00750D3E" w:rsidRPr="00E8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84B89" w:rsidRPr="00E87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замечаниями</w:t>
      </w:r>
      <w:r w:rsidR="00750D3E" w:rsidRPr="00E87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5F2C" w:rsidRDefault="00185F2C" w:rsidP="00185F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D05F5" w:rsidRPr="00E87F4D" w:rsidRDefault="00750D3E" w:rsidP="00E87F4D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E87F4D">
        <w:rPr>
          <w:rFonts w:ascii="Times New Roman" w:eastAsia="Times New Roman" w:hAnsi="Times New Roman" w:cs="Times New Roman"/>
          <w:kern w:val="1"/>
          <w:sz w:val="28"/>
          <w:szCs w:val="24"/>
        </w:rPr>
        <w:t>З</w:t>
      </w:r>
      <w:r w:rsidR="00185F2C" w:rsidRPr="00E87F4D">
        <w:rPr>
          <w:rFonts w:ascii="Times New Roman" w:eastAsia="Times New Roman" w:hAnsi="Times New Roman" w:cs="Times New Roman"/>
          <w:kern w:val="1"/>
          <w:sz w:val="28"/>
          <w:szCs w:val="24"/>
        </w:rPr>
        <w:t>амечания и предложения контрольно-счётной палаты по устранению нарушений, указанные в предыдущем акте проверки годовой отчетности за 201</w:t>
      </w:r>
      <w:r w:rsidR="0049253D" w:rsidRPr="00E87F4D">
        <w:rPr>
          <w:rFonts w:ascii="Times New Roman" w:eastAsia="Times New Roman" w:hAnsi="Times New Roman" w:cs="Times New Roman"/>
          <w:kern w:val="1"/>
          <w:sz w:val="28"/>
          <w:szCs w:val="24"/>
        </w:rPr>
        <w:t>3</w:t>
      </w:r>
      <w:r w:rsidR="00185F2C" w:rsidRPr="00E87F4D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год,  учтены при состав</w:t>
      </w:r>
      <w:r w:rsidR="0049253D" w:rsidRPr="00E87F4D">
        <w:rPr>
          <w:rFonts w:ascii="Times New Roman" w:eastAsia="Times New Roman" w:hAnsi="Times New Roman" w:cs="Times New Roman"/>
          <w:kern w:val="1"/>
          <w:sz w:val="28"/>
          <w:szCs w:val="24"/>
        </w:rPr>
        <w:t>лении годовой отчетности за 2014</w:t>
      </w:r>
      <w:r w:rsidR="00E87F4D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год, но не в полном объеме. </w:t>
      </w:r>
    </w:p>
    <w:p w:rsidR="00B363B8" w:rsidRDefault="00E87F4D" w:rsidP="00F623C9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noProof/>
          <w:kern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4"/>
        </w:rPr>
        <w:tab/>
      </w:r>
    </w:p>
    <w:p w:rsidR="00F623C9" w:rsidRPr="0005475E" w:rsidRDefault="00C46405" w:rsidP="00F623C9">
      <w:pPr>
        <w:tabs>
          <w:tab w:val="left" w:pos="0"/>
        </w:tabs>
        <w:spacing w:after="0"/>
        <w:jc w:val="both"/>
      </w:pPr>
      <w:bookmarkStart w:id="1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F623C9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0F1" w:rsidRDefault="006410F1" w:rsidP="0005475E">
      <w:pPr>
        <w:spacing w:after="0" w:line="240" w:lineRule="auto"/>
      </w:pPr>
      <w:r>
        <w:separator/>
      </w:r>
    </w:p>
  </w:endnote>
  <w:endnote w:type="continuationSeparator" w:id="0">
    <w:p w:rsidR="006410F1" w:rsidRDefault="006410F1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0F1" w:rsidRDefault="006410F1" w:rsidP="0005475E">
      <w:pPr>
        <w:spacing w:after="0" w:line="240" w:lineRule="auto"/>
      </w:pPr>
      <w:r>
        <w:separator/>
      </w:r>
    </w:p>
  </w:footnote>
  <w:footnote w:type="continuationSeparator" w:id="0">
    <w:p w:rsidR="006410F1" w:rsidRDefault="006410F1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277749"/>
      <w:docPartObj>
        <w:docPartGallery w:val="Page Numbers (Top of Page)"/>
        <w:docPartUnique/>
      </w:docPartObj>
    </w:sdtPr>
    <w:sdtEndPr/>
    <w:sdtContent>
      <w:p w:rsidR="00525843" w:rsidRDefault="00525843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405">
          <w:rPr>
            <w:noProof/>
          </w:rPr>
          <w:t>7</w:t>
        </w:r>
        <w:r>
          <w:fldChar w:fldCharType="end"/>
        </w:r>
      </w:p>
    </w:sdtContent>
  </w:sdt>
  <w:p w:rsidR="00525843" w:rsidRDefault="00525843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3284"/>
    <w:rsid w:val="00003E9F"/>
    <w:rsid w:val="00005E70"/>
    <w:rsid w:val="00006244"/>
    <w:rsid w:val="00011790"/>
    <w:rsid w:val="00020732"/>
    <w:rsid w:val="0002530F"/>
    <w:rsid w:val="00026CD9"/>
    <w:rsid w:val="00031053"/>
    <w:rsid w:val="0003245E"/>
    <w:rsid w:val="0004035C"/>
    <w:rsid w:val="00041131"/>
    <w:rsid w:val="00044814"/>
    <w:rsid w:val="00047082"/>
    <w:rsid w:val="000502E4"/>
    <w:rsid w:val="00052B64"/>
    <w:rsid w:val="00052EB7"/>
    <w:rsid w:val="0005475E"/>
    <w:rsid w:val="000559D1"/>
    <w:rsid w:val="00062C5A"/>
    <w:rsid w:val="00065F3D"/>
    <w:rsid w:val="00067972"/>
    <w:rsid w:val="00072B43"/>
    <w:rsid w:val="00073BB1"/>
    <w:rsid w:val="00073F56"/>
    <w:rsid w:val="00074233"/>
    <w:rsid w:val="000774A6"/>
    <w:rsid w:val="000801BC"/>
    <w:rsid w:val="000815D0"/>
    <w:rsid w:val="0008177B"/>
    <w:rsid w:val="00083387"/>
    <w:rsid w:val="00083554"/>
    <w:rsid w:val="0008636C"/>
    <w:rsid w:val="00087C4F"/>
    <w:rsid w:val="00093143"/>
    <w:rsid w:val="00094AC9"/>
    <w:rsid w:val="000A1AFC"/>
    <w:rsid w:val="000C0512"/>
    <w:rsid w:val="000C7927"/>
    <w:rsid w:val="000D2081"/>
    <w:rsid w:val="000D4428"/>
    <w:rsid w:val="000D5DE7"/>
    <w:rsid w:val="000D655B"/>
    <w:rsid w:val="000D797C"/>
    <w:rsid w:val="000E021F"/>
    <w:rsid w:val="000F351D"/>
    <w:rsid w:val="000F43E9"/>
    <w:rsid w:val="00104A5B"/>
    <w:rsid w:val="001117AF"/>
    <w:rsid w:val="0011238D"/>
    <w:rsid w:val="001153EE"/>
    <w:rsid w:val="0011655C"/>
    <w:rsid w:val="00116736"/>
    <w:rsid w:val="00117D00"/>
    <w:rsid w:val="00122086"/>
    <w:rsid w:val="00130939"/>
    <w:rsid w:val="001358EF"/>
    <w:rsid w:val="00141309"/>
    <w:rsid w:val="00143A9F"/>
    <w:rsid w:val="00156213"/>
    <w:rsid w:val="001562ED"/>
    <w:rsid w:val="00161DE8"/>
    <w:rsid w:val="0016385C"/>
    <w:rsid w:val="00165157"/>
    <w:rsid w:val="00165DCC"/>
    <w:rsid w:val="001670B9"/>
    <w:rsid w:val="0017095A"/>
    <w:rsid w:val="001720BC"/>
    <w:rsid w:val="001741C2"/>
    <w:rsid w:val="00176D38"/>
    <w:rsid w:val="00176D4E"/>
    <w:rsid w:val="00182427"/>
    <w:rsid w:val="00185F2C"/>
    <w:rsid w:val="00187B98"/>
    <w:rsid w:val="0019335A"/>
    <w:rsid w:val="001A09FE"/>
    <w:rsid w:val="001A4FF9"/>
    <w:rsid w:val="001A6D36"/>
    <w:rsid w:val="001B0723"/>
    <w:rsid w:val="001C36BF"/>
    <w:rsid w:val="001C4F90"/>
    <w:rsid w:val="001D58A3"/>
    <w:rsid w:val="001D69FC"/>
    <w:rsid w:val="001E6404"/>
    <w:rsid w:val="001F07B4"/>
    <w:rsid w:val="001F3C6B"/>
    <w:rsid w:val="002045B9"/>
    <w:rsid w:val="0020744A"/>
    <w:rsid w:val="00213EA3"/>
    <w:rsid w:val="0021659D"/>
    <w:rsid w:val="002255FA"/>
    <w:rsid w:val="00226D25"/>
    <w:rsid w:val="002278E6"/>
    <w:rsid w:val="00230AAB"/>
    <w:rsid w:val="00236B7D"/>
    <w:rsid w:val="00236F3F"/>
    <w:rsid w:val="00237004"/>
    <w:rsid w:val="0023738B"/>
    <w:rsid w:val="0023738C"/>
    <w:rsid w:val="00241DBD"/>
    <w:rsid w:val="002448E8"/>
    <w:rsid w:val="00245B7C"/>
    <w:rsid w:val="002515D5"/>
    <w:rsid w:val="00253C8D"/>
    <w:rsid w:val="0025550A"/>
    <w:rsid w:val="00260B71"/>
    <w:rsid w:val="002615F6"/>
    <w:rsid w:val="00261CFE"/>
    <w:rsid w:val="00264C70"/>
    <w:rsid w:val="00266DD2"/>
    <w:rsid w:val="002677F4"/>
    <w:rsid w:val="0027119B"/>
    <w:rsid w:val="00272EE0"/>
    <w:rsid w:val="0027447D"/>
    <w:rsid w:val="00276D6A"/>
    <w:rsid w:val="002872EE"/>
    <w:rsid w:val="00293E5C"/>
    <w:rsid w:val="00295B6C"/>
    <w:rsid w:val="002A0DD2"/>
    <w:rsid w:val="002A17EA"/>
    <w:rsid w:val="002C0417"/>
    <w:rsid w:val="002C0F1B"/>
    <w:rsid w:val="002D0049"/>
    <w:rsid w:val="002D1451"/>
    <w:rsid w:val="002D3FF4"/>
    <w:rsid w:val="002E1B22"/>
    <w:rsid w:val="002E3059"/>
    <w:rsid w:val="002E72BA"/>
    <w:rsid w:val="002F31D4"/>
    <w:rsid w:val="002F43EC"/>
    <w:rsid w:val="002F4D68"/>
    <w:rsid w:val="002F4F6D"/>
    <w:rsid w:val="002F5BC2"/>
    <w:rsid w:val="002F5EBA"/>
    <w:rsid w:val="002F7AFC"/>
    <w:rsid w:val="0030053F"/>
    <w:rsid w:val="00310BFB"/>
    <w:rsid w:val="00320562"/>
    <w:rsid w:val="0032272E"/>
    <w:rsid w:val="00325E2C"/>
    <w:rsid w:val="0032704F"/>
    <w:rsid w:val="00332BA7"/>
    <w:rsid w:val="003344F7"/>
    <w:rsid w:val="00334BDB"/>
    <w:rsid w:val="003370C9"/>
    <w:rsid w:val="003515F4"/>
    <w:rsid w:val="00352AF2"/>
    <w:rsid w:val="003556DA"/>
    <w:rsid w:val="003614D1"/>
    <w:rsid w:val="0036345D"/>
    <w:rsid w:val="00365B5D"/>
    <w:rsid w:val="003663ED"/>
    <w:rsid w:val="00382E93"/>
    <w:rsid w:val="00387125"/>
    <w:rsid w:val="00390164"/>
    <w:rsid w:val="00390574"/>
    <w:rsid w:val="00392B9B"/>
    <w:rsid w:val="00396914"/>
    <w:rsid w:val="003973DE"/>
    <w:rsid w:val="003A19C8"/>
    <w:rsid w:val="003B50DC"/>
    <w:rsid w:val="003B7F12"/>
    <w:rsid w:val="003C11B8"/>
    <w:rsid w:val="003C3502"/>
    <w:rsid w:val="003C621C"/>
    <w:rsid w:val="003C7536"/>
    <w:rsid w:val="003D26C2"/>
    <w:rsid w:val="003D2826"/>
    <w:rsid w:val="003D3D7D"/>
    <w:rsid w:val="003E0913"/>
    <w:rsid w:val="003E36C3"/>
    <w:rsid w:val="003F18CB"/>
    <w:rsid w:val="003F20F7"/>
    <w:rsid w:val="003F2171"/>
    <w:rsid w:val="00400EA6"/>
    <w:rsid w:val="00402D51"/>
    <w:rsid w:val="00405230"/>
    <w:rsid w:val="004058C6"/>
    <w:rsid w:val="0041246D"/>
    <w:rsid w:val="00414D31"/>
    <w:rsid w:val="00415A6B"/>
    <w:rsid w:val="00417805"/>
    <w:rsid w:val="0042106B"/>
    <w:rsid w:val="00423B39"/>
    <w:rsid w:val="00430C8F"/>
    <w:rsid w:val="00437B03"/>
    <w:rsid w:val="004406DD"/>
    <w:rsid w:val="00443930"/>
    <w:rsid w:val="00443C01"/>
    <w:rsid w:val="00445EE6"/>
    <w:rsid w:val="0045479C"/>
    <w:rsid w:val="004559E2"/>
    <w:rsid w:val="00460937"/>
    <w:rsid w:val="00462289"/>
    <w:rsid w:val="004640A0"/>
    <w:rsid w:val="00473710"/>
    <w:rsid w:val="00473BFD"/>
    <w:rsid w:val="00474E56"/>
    <w:rsid w:val="0047680B"/>
    <w:rsid w:val="0048282A"/>
    <w:rsid w:val="004833A7"/>
    <w:rsid w:val="004839C0"/>
    <w:rsid w:val="00483E16"/>
    <w:rsid w:val="00484324"/>
    <w:rsid w:val="00485B79"/>
    <w:rsid w:val="004904B9"/>
    <w:rsid w:val="0049253D"/>
    <w:rsid w:val="00496F13"/>
    <w:rsid w:val="004A569B"/>
    <w:rsid w:val="004B6045"/>
    <w:rsid w:val="004C423C"/>
    <w:rsid w:val="004C4B38"/>
    <w:rsid w:val="004C7805"/>
    <w:rsid w:val="004D43F7"/>
    <w:rsid w:val="004D60C5"/>
    <w:rsid w:val="004E55F5"/>
    <w:rsid w:val="004E7F40"/>
    <w:rsid w:val="004F0F4A"/>
    <w:rsid w:val="004F58BA"/>
    <w:rsid w:val="00501BEA"/>
    <w:rsid w:val="00504F41"/>
    <w:rsid w:val="00512BCE"/>
    <w:rsid w:val="00525843"/>
    <w:rsid w:val="0053162D"/>
    <w:rsid w:val="0054226C"/>
    <w:rsid w:val="00547C7C"/>
    <w:rsid w:val="005526C7"/>
    <w:rsid w:val="0055599A"/>
    <w:rsid w:val="00555D77"/>
    <w:rsid w:val="0055632A"/>
    <w:rsid w:val="00560165"/>
    <w:rsid w:val="0056075E"/>
    <w:rsid w:val="00570664"/>
    <w:rsid w:val="00572FB4"/>
    <w:rsid w:val="00580113"/>
    <w:rsid w:val="0059576C"/>
    <w:rsid w:val="005A4012"/>
    <w:rsid w:val="005B0A7D"/>
    <w:rsid w:val="005B76CE"/>
    <w:rsid w:val="005C0E66"/>
    <w:rsid w:val="005C5304"/>
    <w:rsid w:val="005D3691"/>
    <w:rsid w:val="005D42AE"/>
    <w:rsid w:val="005D5A8F"/>
    <w:rsid w:val="005E64D3"/>
    <w:rsid w:val="005F5A50"/>
    <w:rsid w:val="006059CF"/>
    <w:rsid w:val="00606AAC"/>
    <w:rsid w:val="00613547"/>
    <w:rsid w:val="00614F87"/>
    <w:rsid w:val="006161D8"/>
    <w:rsid w:val="00617FCA"/>
    <w:rsid w:val="00626037"/>
    <w:rsid w:val="00632316"/>
    <w:rsid w:val="00633847"/>
    <w:rsid w:val="0063525F"/>
    <w:rsid w:val="006410F1"/>
    <w:rsid w:val="006502EA"/>
    <w:rsid w:val="00650D89"/>
    <w:rsid w:val="006517C9"/>
    <w:rsid w:val="006529DD"/>
    <w:rsid w:val="00654949"/>
    <w:rsid w:val="00665FB9"/>
    <w:rsid w:val="00667F23"/>
    <w:rsid w:val="00675C57"/>
    <w:rsid w:val="00684AA2"/>
    <w:rsid w:val="006866E0"/>
    <w:rsid w:val="00686AE6"/>
    <w:rsid w:val="0069026B"/>
    <w:rsid w:val="0069297B"/>
    <w:rsid w:val="00696BE8"/>
    <w:rsid w:val="006A28C2"/>
    <w:rsid w:val="006A7914"/>
    <w:rsid w:val="006A7A40"/>
    <w:rsid w:val="006B2F4E"/>
    <w:rsid w:val="006B731F"/>
    <w:rsid w:val="006C1558"/>
    <w:rsid w:val="006C62A1"/>
    <w:rsid w:val="006D4F2B"/>
    <w:rsid w:val="006D6E76"/>
    <w:rsid w:val="006E07A9"/>
    <w:rsid w:val="006E252E"/>
    <w:rsid w:val="006E2C06"/>
    <w:rsid w:val="006E3EF2"/>
    <w:rsid w:val="006E3F43"/>
    <w:rsid w:val="006E4F8E"/>
    <w:rsid w:val="006E69F3"/>
    <w:rsid w:val="006F6053"/>
    <w:rsid w:val="007003DE"/>
    <w:rsid w:val="00707122"/>
    <w:rsid w:val="007073C2"/>
    <w:rsid w:val="00707BF2"/>
    <w:rsid w:val="00707C17"/>
    <w:rsid w:val="0071266C"/>
    <w:rsid w:val="00714421"/>
    <w:rsid w:val="00715DED"/>
    <w:rsid w:val="00717828"/>
    <w:rsid w:val="00720E1A"/>
    <w:rsid w:val="00724DE3"/>
    <w:rsid w:val="007252D4"/>
    <w:rsid w:val="0072575E"/>
    <w:rsid w:val="00726486"/>
    <w:rsid w:val="00731559"/>
    <w:rsid w:val="00732535"/>
    <w:rsid w:val="00736C62"/>
    <w:rsid w:val="0074387F"/>
    <w:rsid w:val="00750BF4"/>
    <w:rsid w:val="00750D3E"/>
    <w:rsid w:val="00763CF8"/>
    <w:rsid w:val="007706E1"/>
    <w:rsid w:val="0077287D"/>
    <w:rsid w:val="00780193"/>
    <w:rsid w:val="00781D1F"/>
    <w:rsid w:val="00792E25"/>
    <w:rsid w:val="00793CCE"/>
    <w:rsid w:val="00795CE9"/>
    <w:rsid w:val="00796DDE"/>
    <w:rsid w:val="007A0CAE"/>
    <w:rsid w:val="007A2A91"/>
    <w:rsid w:val="007A591F"/>
    <w:rsid w:val="007B191A"/>
    <w:rsid w:val="007D14F6"/>
    <w:rsid w:val="007D390E"/>
    <w:rsid w:val="007D70C3"/>
    <w:rsid w:val="007D7707"/>
    <w:rsid w:val="007E0946"/>
    <w:rsid w:val="007E2F80"/>
    <w:rsid w:val="007F2B25"/>
    <w:rsid w:val="007F3BBA"/>
    <w:rsid w:val="0080318C"/>
    <w:rsid w:val="00805526"/>
    <w:rsid w:val="0080589B"/>
    <w:rsid w:val="00810D61"/>
    <w:rsid w:val="008126B3"/>
    <w:rsid w:val="0081611D"/>
    <w:rsid w:val="008161E2"/>
    <w:rsid w:val="00831A16"/>
    <w:rsid w:val="00831E29"/>
    <w:rsid w:val="00834810"/>
    <w:rsid w:val="00840B9A"/>
    <w:rsid w:val="0084417B"/>
    <w:rsid w:val="00845B7D"/>
    <w:rsid w:val="00845DFC"/>
    <w:rsid w:val="00847ADF"/>
    <w:rsid w:val="00865E77"/>
    <w:rsid w:val="00865EA5"/>
    <w:rsid w:val="00865EF7"/>
    <w:rsid w:val="008707C1"/>
    <w:rsid w:val="00871599"/>
    <w:rsid w:val="008737BE"/>
    <w:rsid w:val="00873A14"/>
    <w:rsid w:val="008810E7"/>
    <w:rsid w:val="00886FF1"/>
    <w:rsid w:val="00887514"/>
    <w:rsid w:val="008A2C94"/>
    <w:rsid w:val="008A306E"/>
    <w:rsid w:val="008A4E5C"/>
    <w:rsid w:val="008A71FF"/>
    <w:rsid w:val="008B39D5"/>
    <w:rsid w:val="008B5BD4"/>
    <w:rsid w:val="008B6E74"/>
    <w:rsid w:val="008C02E7"/>
    <w:rsid w:val="008C0CD5"/>
    <w:rsid w:val="008C3637"/>
    <w:rsid w:val="008C5202"/>
    <w:rsid w:val="008C5DC7"/>
    <w:rsid w:val="008C78A9"/>
    <w:rsid w:val="008C7D63"/>
    <w:rsid w:val="008D17A8"/>
    <w:rsid w:val="008D6C62"/>
    <w:rsid w:val="008F2498"/>
    <w:rsid w:val="009007CE"/>
    <w:rsid w:val="00901068"/>
    <w:rsid w:val="00905F5A"/>
    <w:rsid w:val="00905F68"/>
    <w:rsid w:val="00916189"/>
    <w:rsid w:val="00932EB2"/>
    <w:rsid w:val="00937E7C"/>
    <w:rsid w:val="00945D65"/>
    <w:rsid w:val="00946770"/>
    <w:rsid w:val="009530DA"/>
    <w:rsid w:val="00954F8C"/>
    <w:rsid w:val="009550A9"/>
    <w:rsid w:val="009551DF"/>
    <w:rsid w:val="00955A7F"/>
    <w:rsid w:val="00960DF8"/>
    <w:rsid w:val="009630D7"/>
    <w:rsid w:val="0096414A"/>
    <w:rsid w:val="009647C4"/>
    <w:rsid w:val="0096666B"/>
    <w:rsid w:val="00976A14"/>
    <w:rsid w:val="009806FD"/>
    <w:rsid w:val="00980DED"/>
    <w:rsid w:val="0098277D"/>
    <w:rsid w:val="00982B92"/>
    <w:rsid w:val="00984B89"/>
    <w:rsid w:val="009859B8"/>
    <w:rsid w:val="0099379C"/>
    <w:rsid w:val="00996F55"/>
    <w:rsid w:val="009A03CE"/>
    <w:rsid w:val="009A215E"/>
    <w:rsid w:val="009A3AFA"/>
    <w:rsid w:val="009B0B4A"/>
    <w:rsid w:val="009B462F"/>
    <w:rsid w:val="009B572E"/>
    <w:rsid w:val="009B5D4F"/>
    <w:rsid w:val="009C0D97"/>
    <w:rsid w:val="009C677C"/>
    <w:rsid w:val="009D05F5"/>
    <w:rsid w:val="009D1469"/>
    <w:rsid w:val="009D6607"/>
    <w:rsid w:val="009E17A8"/>
    <w:rsid w:val="009E2F86"/>
    <w:rsid w:val="009E3377"/>
    <w:rsid w:val="009E5119"/>
    <w:rsid w:val="009E62F1"/>
    <w:rsid w:val="009F00D2"/>
    <w:rsid w:val="009F09D3"/>
    <w:rsid w:val="009F0DE1"/>
    <w:rsid w:val="00A011CD"/>
    <w:rsid w:val="00A02F85"/>
    <w:rsid w:val="00A04E0C"/>
    <w:rsid w:val="00A0516A"/>
    <w:rsid w:val="00A0742A"/>
    <w:rsid w:val="00A1041A"/>
    <w:rsid w:val="00A11430"/>
    <w:rsid w:val="00A14085"/>
    <w:rsid w:val="00A14238"/>
    <w:rsid w:val="00A17396"/>
    <w:rsid w:val="00A17B09"/>
    <w:rsid w:val="00A25CA9"/>
    <w:rsid w:val="00A32F24"/>
    <w:rsid w:val="00A36488"/>
    <w:rsid w:val="00A40433"/>
    <w:rsid w:val="00A50202"/>
    <w:rsid w:val="00A520C3"/>
    <w:rsid w:val="00A54918"/>
    <w:rsid w:val="00A549B7"/>
    <w:rsid w:val="00A55E8E"/>
    <w:rsid w:val="00A63284"/>
    <w:rsid w:val="00A83F37"/>
    <w:rsid w:val="00A84B14"/>
    <w:rsid w:val="00A86040"/>
    <w:rsid w:val="00A91E20"/>
    <w:rsid w:val="00A95E84"/>
    <w:rsid w:val="00AA46DB"/>
    <w:rsid w:val="00AA4CA2"/>
    <w:rsid w:val="00AA768C"/>
    <w:rsid w:val="00AB2075"/>
    <w:rsid w:val="00AB417D"/>
    <w:rsid w:val="00AC3987"/>
    <w:rsid w:val="00AC3FD4"/>
    <w:rsid w:val="00AE1EAB"/>
    <w:rsid w:val="00AE29DB"/>
    <w:rsid w:val="00AE46EF"/>
    <w:rsid w:val="00AE5322"/>
    <w:rsid w:val="00AE5A97"/>
    <w:rsid w:val="00AF1248"/>
    <w:rsid w:val="00AF350E"/>
    <w:rsid w:val="00AF7F9E"/>
    <w:rsid w:val="00B02CCE"/>
    <w:rsid w:val="00B0319A"/>
    <w:rsid w:val="00B05D81"/>
    <w:rsid w:val="00B06A9B"/>
    <w:rsid w:val="00B0714E"/>
    <w:rsid w:val="00B14E0C"/>
    <w:rsid w:val="00B2241F"/>
    <w:rsid w:val="00B25F09"/>
    <w:rsid w:val="00B32273"/>
    <w:rsid w:val="00B33840"/>
    <w:rsid w:val="00B35BDD"/>
    <w:rsid w:val="00B363B8"/>
    <w:rsid w:val="00B363E3"/>
    <w:rsid w:val="00B3736C"/>
    <w:rsid w:val="00B40196"/>
    <w:rsid w:val="00B44C11"/>
    <w:rsid w:val="00B47687"/>
    <w:rsid w:val="00B520FC"/>
    <w:rsid w:val="00B60075"/>
    <w:rsid w:val="00B62A18"/>
    <w:rsid w:val="00B6648F"/>
    <w:rsid w:val="00B75065"/>
    <w:rsid w:val="00B77A37"/>
    <w:rsid w:val="00B8564E"/>
    <w:rsid w:val="00B90AE2"/>
    <w:rsid w:val="00B94BFB"/>
    <w:rsid w:val="00BA1906"/>
    <w:rsid w:val="00BA3A77"/>
    <w:rsid w:val="00BA556C"/>
    <w:rsid w:val="00BB424D"/>
    <w:rsid w:val="00BC7D60"/>
    <w:rsid w:val="00BE3D0F"/>
    <w:rsid w:val="00BF6CD0"/>
    <w:rsid w:val="00C06438"/>
    <w:rsid w:val="00C07B4E"/>
    <w:rsid w:val="00C13B60"/>
    <w:rsid w:val="00C16948"/>
    <w:rsid w:val="00C31333"/>
    <w:rsid w:val="00C31375"/>
    <w:rsid w:val="00C32BB9"/>
    <w:rsid w:val="00C35761"/>
    <w:rsid w:val="00C42327"/>
    <w:rsid w:val="00C4241A"/>
    <w:rsid w:val="00C46405"/>
    <w:rsid w:val="00C46E42"/>
    <w:rsid w:val="00C50E6F"/>
    <w:rsid w:val="00C5396C"/>
    <w:rsid w:val="00C554B6"/>
    <w:rsid w:val="00C600CC"/>
    <w:rsid w:val="00C631EC"/>
    <w:rsid w:val="00C6359B"/>
    <w:rsid w:val="00C64212"/>
    <w:rsid w:val="00C80C68"/>
    <w:rsid w:val="00C92FD4"/>
    <w:rsid w:val="00C94488"/>
    <w:rsid w:val="00C94E9D"/>
    <w:rsid w:val="00CA4F36"/>
    <w:rsid w:val="00CA7407"/>
    <w:rsid w:val="00CB2F82"/>
    <w:rsid w:val="00CB38C6"/>
    <w:rsid w:val="00CB7084"/>
    <w:rsid w:val="00CB7342"/>
    <w:rsid w:val="00CD04F8"/>
    <w:rsid w:val="00CD0598"/>
    <w:rsid w:val="00CD2FFF"/>
    <w:rsid w:val="00CE104E"/>
    <w:rsid w:val="00CE1706"/>
    <w:rsid w:val="00CE33E6"/>
    <w:rsid w:val="00CF21DE"/>
    <w:rsid w:val="00CF3E2E"/>
    <w:rsid w:val="00CF4CB5"/>
    <w:rsid w:val="00CF5345"/>
    <w:rsid w:val="00CF54DC"/>
    <w:rsid w:val="00CF5C1B"/>
    <w:rsid w:val="00D0167A"/>
    <w:rsid w:val="00D018C7"/>
    <w:rsid w:val="00D02AFA"/>
    <w:rsid w:val="00D0557E"/>
    <w:rsid w:val="00D05609"/>
    <w:rsid w:val="00D05B92"/>
    <w:rsid w:val="00D07DB9"/>
    <w:rsid w:val="00D10801"/>
    <w:rsid w:val="00D11AD3"/>
    <w:rsid w:val="00D126E6"/>
    <w:rsid w:val="00D13B73"/>
    <w:rsid w:val="00D13C8C"/>
    <w:rsid w:val="00D17D6C"/>
    <w:rsid w:val="00D22DD3"/>
    <w:rsid w:val="00D23D30"/>
    <w:rsid w:val="00D265A3"/>
    <w:rsid w:val="00D2797B"/>
    <w:rsid w:val="00D31FF7"/>
    <w:rsid w:val="00D3412D"/>
    <w:rsid w:val="00D40824"/>
    <w:rsid w:val="00D41C01"/>
    <w:rsid w:val="00D43C2B"/>
    <w:rsid w:val="00D50454"/>
    <w:rsid w:val="00D521F2"/>
    <w:rsid w:val="00D57298"/>
    <w:rsid w:val="00D77918"/>
    <w:rsid w:val="00D851D6"/>
    <w:rsid w:val="00D87876"/>
    <w:rsid w:val="00D92F5F"/>
    <w:rsid w:val="00D95E0D"/>
    <w:rsid w:val="00DB3589"/>
    <w:rsid w:val="00DB4619"/>
    <w:rsid w:val="00DB46C6"/>
    <w:rsid w:val="00DB681B"/>
    <w:rsid w:val="00DB77F0"/>
    <w:rsid w:val="00DD11CD"/>
    <w:rsid w:val="00DD1982"/>
    <w:rsid w:val="00DE52D0"/>
    <w:rsid w:val="00DE62D5"/>
    <w:rsid w:val="00DF112A"/>
    <w:rsid w:val="00DF26CA"/>
    <w:rsid w:val="00E00231"/>
    <w:rsid w:val="00E0791B"/>
    <w:rsid w:val="00E134EA"/>
    <w:rsid w:val="00E15475"/>
    <w:rsid w:val="00E16AE7"/>
    <w:rsid w:val="00E21C0B"/>
    <w:rsid w:val="00E27C22"/>
    <w:rsid w:val="00E33FB3"/>
    <w:rsid w:val="00E35F20"/>
    <w:rsid w:val="00E4061F"/>
    <w:rsid w:val="00E4065A"/>
    <w:rsid w:val="00E473EC"/>
    <w:rsid w:val="00E55913"/>
    <w:rsid w:val="00E629AA"/>
    <w:rsid w:val="00E66538"/>
    <w:rsid w:val="00E73B93"/>
    <w:rsid w:val="00E7531C"/>
    <w:rsid w:val="00E87F4D"/>
    <w:rsid w:val="00E95618"/>
    <w:rsid w:val="00E9764D"/>
    <w:rsid w:val="00EA3C81"/>
    <w:rsid w:val="00EB0362"/>
    <w:rsid w:val="00EB0708"/>
    <w:rsid w:val="00EB10D1"/>
    <w:rsid w:val="00EB4C07"/>
    <w:rsid w:val="00EB4C0B"/>
    <w:rsid w:val="00EC071A"/>
    <w:rsid w:val="00EC13AE"/>
    <w:rsid w:val="00EC3CF8"/>
    <w:rsid w:val="00EC5B52"/>
    <w:rsid w:val="00ED4B07"/>
    <w:rsid w:val="00ED5327"/>
    <w:rsid w:val="00EE0183"/>
    <w:rsid w:val="00EE0E32"/>
    <w:rsid w:val="00EE1BAF"/>
    <w:rsid w:val="00EE7D03"/>
    <w:rsid w:val="00EE7D0B"/>
    <w:rsid w:val="00F058A0"/>
    <w:rsid w:val="00F0644E"/>
    <w:rsid w:val="00F07008"/>
    <w:rsid w:val="00F07039"/>
    <w:rsid w:val="00F120A0"/>
    <w:rsid w:val="00F14CB3"/>
    <w:rsid w:val="00F179D1"/>
    <w:rsid w:val="00F2303E"/>
    <w:rsid w:val="00F2308A"/>
    <w:rsid w:val="00F248D0"/>
    <w:rsid w:val="00F27234"/>
    <w:rsid w:val="00F40694"/>
    <w:rsid w:val="00F40D74"/>
    <w:rsid w:val="00F45878"/>
    <w:rsid w:val="00F600A0"/>
    <w:rsid w:val="00F623C9"/>
    <w:rsid w:val="00F62F87"/>
    <w:rsid w:val="00F679BE"/>
    <w:rsid w:val="00F773EC"/>
    <w:rsid w:val="00F80673"/>
    <w:rsid w:val="00F82183"/>
    <w:rsid w:val="00F8326F"/>
    <w:rsid w:val="00F836F0"/>
    <w:rsid w:val="00F868CA"/>
    <w:rsid w:val="00F90390"/>
    <w:rsid w:val="00F92EEF"/>
    <w:rsid w:val="00F93FEE"/>
    <w:rsid w:val="00F96A91"/>
    <w:rsid w:val="00F96BEC"/>
    <w:rsid w:val="00F96FA7"/>
    <w:rsid w:val="00FA44EC"/>
    <w:rsid w:val="00FB25CD"/>
    <w:rsid w:val="00FB4143"/>
    <w:rsid w:val="00FB643D"/>
    <w:rsid w:val="00FB68E2"/>
    <w:rsid w:val="00FC21ED"/>
    <w:rsid w:val="00FE1957"/>
    <w:rsid w:val="00FE21A9"/>
    <w:rsid w:val="00FE605B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5A7C1-4EAD-4032-A594-28164DE9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5485</TotalTime>
  <Pages>1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89</cp:revision>
  <cp:lastPrinted>2015-03-23T05:55:00Z</cp:lastPrinted>
  <dcterms:created xsi:type="dcterms:W3CDTF">2012-03-28T05:21:00Z</dcterms:created>
  <dcterms:modified xsi:type="dcterms:W3CDTF">2015-05-22T11:42:00Z</dcterms:modified>
</cp:coreProperties>
</file>